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D6AB" w14:textId="77B5002F" w:rsidR="00A85A7C" w:rsidRPr="00A85A7C" w:rsidRDefault="00C35564" w:rsidP="00B14A98">
      <w:pPr>
        <w:jc w:val="center"/>
        <w:rPr>
          <w:rFonts w:ascii="Times New Roman" w:hAnsi="Times New Roman" w:cs="Times New Roman"/>
          <w:b/>
          <w:bCs/>
          <w:u w:val="single"/>
        </w:rPr>
      </w:pPr>
      <w:r w:rsidRPr="00A85A7C">
        <w:rPr>
          <w:rFonts w:ascii="Times New Roman" w:hAnsi="Times New Roman" w:cs="Times New Roman"/>
          <w:b/>
          <w:bCs/>
          <w:u w:val="single"/>
        </w:rPr>
        <w:t>ИНВЕСТИЦИОНИ КРЕДИТИ</w:t>
      </w:r>
    </w:p>
    <w:p w14:paraId="6C987187" w14:textId="7CEEFEE1" w:rsidR="000A0F5A" w:rsidRDefault="00C35564" w:rsidP="000A0F5A">
      <w:pPr>
        <w:jc w:val="both"/>
        <w:rPr>
          <w:rFonts w:ascii="Times New Roman" w:hAnsi="Times New Roman" w:cs="Times New Roman"/>
          <w:lang w:val="sr-Cyrl-RS"/>
        </w:rPr>
      </w:pPr>
      <w:proofErr w:type="spellStart"/>
      <w:r w:rsidRPr="00A85A7C">
        <w:rPr>
          <w:rFonts w:ascii="Times New Roman" w:hAnsi="Times New Roman" w:cs="Times New Roman"/>
        </w:rPr>
        <w:t>Право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коришћење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средстава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Фонда</w:t>
      </w:r>
      <w:proofErr w:type="spellEnd"/>
      <w:r w:rsidRPr="00A85A7C">
        <w:rPr>
          <w:rFonts w:ascii="Times New Roman" w:hAnsi="Times New Roman" w:cs="Times New Roman"/>
        </w:rPr>
        <w:t xml:space="preserve"> </w:t>
      </w:r>
      <w:r w:rsidR="000A0F5A" w:rsidRPr="00A85A7C">
        <w:rPr>
          <w:rFonts w:ascii="Times New Roman" w:hAnsi="Times New Roman" w:cs="Times New Roman"/>
          <w:lang w:val="sr-Cyrl-RS"/>
        </w:rPr>
        <w:t>имају предузетници и</w:t>
      </w:r>
      <w:r w:rsidRPr="00A85A7C">
        <w:rPr>
          <w:rFonts w:ascii="Times New Roman" w:hAnsi="Times New Roman" w:cs="Times New Roman"/>
        </w:rPr>
        <w:t xml:space="preserve"> </w:t>
      </w:r>
      <w:proofErr w:type="spellStart"/>
      <w:r w:rsidRPr="00A85A7C">
        <w:rPr>
          <w:rFonts w:ascii="Times New Roman" w:hAnsi="Times New Roman" w:cs="Times New Roman"/>
        </w:rPr>
        <w:t>привредни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субјекти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разврстани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као</w:t>
      </w:r>
      <w:proofErr w:type="spellEnd"/>
      <w:r w:rsidRPr="00A85A7C">
        <w:rPr>
          <w:rFonts w:ascii="Times New Roman" w:hAnsi="Times New Roman" w:cs="Times New Roman"/>
        </w:rPr>
        <w:t xml:space="preserve"> </w:t>
      </w:r>
      <w:proofErr w:type="spellStart"/>
      <w:proofErr w:type="gramStart"/>
      <w:r w:rsidRPr="00A85A7C">
        <w:rPr>
          <w:rFonts w:ascii="Times New Roman" w:hAnsi="Times New Roman" w:cs="Times New Roman"/>
        </w:rPr>
        <w:t>микро,мала</w:t>
      </w:r>
      <w:proofErr w:type="spellEnd"/>
      <w:proofErr w:type="gramEnd"/>
      <w:r w:rsidRPr="00A85A7C">
        <w:rPr>
          <w:rFonts w:ascii="Times New Roman" w:hAnsi="Times New Roman" w:cs="Times New Roman"/>
        </w:rPr>
        <w:t xml:space="preserve">, </w:t>
      </w:r>
      <w:proofErr w:type="spellStart"/>
      <w:r w:rsidRPr="00A85A7C">
        <w:rPr>
          <w:rFonts w:ascii="Times New Roman" w:hAnsi="Times New Roman" w:cs="Times New Roman"/>
        </w:rPr>
        <w:t>средња</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велика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правна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лица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регистровани</w:t>
      </w:r>
      <w:proofErr w:type="spellEnd"/>
      <w:r w:rsidRPr="00A85A7C">
        <w:rPr>
          <w:rFonts w:ascii="Times New Roman" w:hAnsi="Times New Roman" w:cs="Times New Roman"/>
        </w:rPr>
        <w:t xml:space="preserve"> у </w:t>
      </w:r>
      <w:proofErr w:type="spellStart"/>
      <w:r w:rsidRPr="00A85A7C">
        <w:rPr>
          <w:rFonts w:ascii="Times New Roman" w:hAnsi="Times New Roman" w:cs="Times New Roman"/>
        </w:rPr>
        <w:t>релевантом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регистру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подручју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Републике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Србије</w:t>
      </w:r>
      <w:proofErr w:type="spellEnd"/>
      <w:r w:rsidR="00B14A98">
        <w:rPr>
          <w:rFonts w:ascii="Times New Roman" w:hAnsi="Times New Roman" w:cs="Times New Roman"/>
          <w:lang w:val="sr-Latn-RS"/>
        </w:rPr>
        <w:t xml:space="preserve">, </w:t>
      </w:r>
      <w:proofErr w:type="spellStart"/>
      <w:r w:rsidRPr="00A85A7C">
        <w:rPr>
          <w:rFonts w:ascii="Times New Roman" w:hAnsi="Times New Roman" w:cs="Times New Roman"/>
        </w:rPr>
        <w:t>који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доставе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финансијске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извештаје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претходне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две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године</w:t>
      </w:r>
      <w:proofErr w:type="spellEnd"/>
      <w:r w:rsidRPr="00A85A7C">
        <w:rPr>
          <w:rFonts w:ascii="Times New Roman" w:hAnsi="Times New Roman" w:cs="Times New Roman"/>
        </w:rPr>
        <w:t xml:space="preserve"> у </w:t>
      </w:r>
      <w:proofErr w:type="spellStart"/>
      <w:r w:rsidRPr="00A85A7C">
        <w:rPr>
          <w:rFonts w:ascii="Times New Roman" w:hAnsi="Times New Roman" w:cs="Times New Roman"/>
        </w:rPr>
        <w:t>којима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није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исказан</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губитак</w:t>
      </w:r>
      <w:proofErr w:type="spellEnd"/>
      <w:r w:rsidR="000A0F5A" w:rsidRPr="00A85A7C">
        <w:rPr>
          <w:rFonts w:ascii="Times New Roman" w:hAnsi="Times New Roman" w:cs="Times New Roman"/>
          <w:lang w:val="sr-Cyrl-RS"/>
        </w:rPr>
        <w:t xml:space="preserve">. </w:t>
      </w:r>
    </w:p>
    <w:p w14:paraId="45075329" w14:textId="3EC0C652" w:rsidR="00FF5AA3" w:rsidRDefault="00FF5AA3" w:rsidP="000A0F5A">
      <w:pPr>
        <w:jc w:val="both"/>
        <w:rPr>
          <w:rFonts w:ascii="Times New Roman" w:hAnsi="Times New Roman" w:cs="Times New Roman"/>
          <w:lang w:val="sr-Cyrl-RS"/>
        </w:rPr>
      </w:pPr>
      <w:r>
        <w:rPr>
          <w:rFonts w:ascii="Times New Roman" w:hAnsi="Times New Roman" w:cs="Times New Roman"/>
          <w:lang w:val="sr-Cyrl-RS"/>
        </w:rPr>
        <w:t>Кредитна средства по овом програму одобраваће се по следећим условима: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6345"/>
      </w:tblGrid>
      <w:tr w:rsidR="00FF5AA3" w:rsidRPr="007E6257" w14:paraId="04F78EB0" w14:textId="77777777" w:rsidTr="00630FBD">
        <w:trPr>
          <w:trHeight w:val="161"/>
        </w:trPr>
        <w:tc>
          <w:tcPr>
            <w:tcW w:w="2727" w:type="dxa"/>
            <w:shd w:val="clear" w:color="auto" w:fill="auto"/>
          </w:tcPr>
          <w:p w14:paraId="44AE1930" w14:textId="7D46530A" w:rsidR="00FF5AA3" w:rsidRPr="007E6257" w:rsidRDefault="00630FBD" w:rsidP="00BC77A4">
            <w:pPr>
              <w:rPr>
                <w:rFonts w:ascii="Times New Roman" w:hAnsi="Times New Roman" w:cs="Times New Roman"/>
                <w:lang w:val="sr-Cyrl-RS"/>
              </w:rPr>
            </w:pPr>
            <w:r>
              <w:rPr>
                <w:rFonts w:ascii="Times New Roman" w:hAnsi="Times New Roman" w:cs="Times New Roman"/>
                <w:lang w:val="sr-Cyrl-RS"/>
              </w:rPr>
              <w:t>Износ кредита</w:t>
            </w:r>
          </w:p>
        </w:tc>
        <w:tc>
          <w:tcPr>
            <w:tcW w:w="6345" w:type="dxa"/>
            <w:shd w:val="clear" w:color="auto" w:fill="auto"/>
          </w:tcPr>
          <w:p w14:paraId="660911AA" w14:textId="6EDC3BDB" w:rsidR="00FF5AA3" w:rsidRPr="007E6257" w:rsidRDefault="00630FBD" w:rsidP="00BC77A4">
            <w:pPr>
              <w:rPr>
                <w:rFonts w:ascii="Times New Roman" w:hAnsi="Times New Roman" w:cs="Times New Roman"/>
                <w:lang w:val="sr-Cyrl-RS"/>
              </w:rPr>
            </w:pPr>
            <w:r>
              <w:rPr>
                <w:rFonts w:ascii="Times New Roman" w:hAnsi="Times New Roman" w:cs="Times New Roman"/>
                <w:lang w:val="sr-Cyrl-RS"/>
              </w:rPr>
              <w:t>До РСД 250.000.000,00</w:t>
            </w:r>
          </w:p>
        </w:tc>
      </w:tr>
      <w:tr w:rsidR="00630FBD" w:rsidRPr="007E6257" w14:paraId="2D1F6BFA" w14:textId="77777777" w:rsidTr="00630FBD">
        <w:trPr>
          <w:trHeight w:val="626"/>
        </w:trPr>
        <w:tc>
          <w:tcPr>
            <w:tcW w:w="2727" w:type="dxa"/>
            <w:shd w:val="clear" w:color="auto" w:fill="auto"/>
          </w:tcPr>
          <w:p w14:paraId="13DE4A6C" w14:textId="0A7B287C" w:rsidR="00630FBD" w:rsidRPr="007E6257" w:rsidRDefault="00630FBD" w:rsidP="00630FBD">
            <w:pPr>
              <w:rPr>
                <w:rFonts w:ascii="Times New Roman" w:hAnsi="Times New Roman" w:cs="Times New Roman"/>
                <w:lang w:val="sr-Cyrl-RS"/>
              </w:rPr>
            </w:pPr>
            <w:r w:rsidRPr="007E6257">
              <w:rPr>
                <w:rFonts w:ascii="Times New Roman" w:hAnsi="Times New Roman" w:cs="Times New Roman"/>
                <w:lang w:val="sr-Cyrl-RS"/>
              </w:rPr>
              <w:t>Рок отплате кредита</w:t>
            </w:r>
          </w:p>
        </w:tc>
        <w:tc>
          <w:tcPr>
            <w:tcW w:w="6345" w:type="dxa"/>
            <w:shd w:val="clear" w:color="auto" w:fill="auto"/>
          </w:tcPr>
          <w:p w14:paraId="31CCD1A6" w14:textId="77777777" w:rsidR="00630FBD" w:rsidRDefault="00630FBD" w:rsidP="00630FBD">
            <w:pPr>
              <w:rPr>
                <w:rFonts w:ascii="Times New Roman" w:hAnsi="Times New Roman" w:cs="Times New Roman"/>
                <w:lang w:val="sr-Cyrl-RS"/>
              </w:rPr>
            </w:pPr>
            <w:r w:rsidRPr="007E6257">
              <w:rPr>
                <w:rFonts w:ascii="Times New Roman" w:hAnsi="Times New Roman" w:cs="Times New Roman"/>
                <w:lang w:val="sr-Cyrl-RS"/>
              </w:rPr>
              <w:t>До 10 година, укључујући и грејс период</w:t>
            </w:r>
          </w:p>
          <w:p w14:paraId="51D9D724" w14:textId="1993946A" w:rsidR="00630FBD" w:rsidRPr="007E6257" w:rsidRDefault="00630FBD" w:rsidP="00630FBD">
            <w:pPr>
              <w:rPr>
                <w:rFonts w:ascii="Times New Roman" w:hAnsi="Times New Roman" w:cs="Times New Roman"/>
                <w:lang w:val="sr-Cyrl-RS"/>
              </w:rPr>
            </w:pPr>
            <w:r>
              <w:rPr>
                <w:rFonts w:ascii="Times New Roman" w:hAnsi="Times New Roman" w:cs="Times New Roman"/>
                <w:lang w:val="sr-Cyrl-RS"/>
              </w:rPr>
              <w:t xml:space="preserve">До 8 година, </w:t>
            </w:r>
            <w:r w:rsidRPr="007E6257">
              <w:rPr>
                <w:rFonts w:ascii="Times New Roman" w:hAnsi="Times New Roman" w:cs="Times New Roman"/>
                <w:lang w:val="sr-Cyrl-RS"/>
              </w:rPr>
              <w:t>укључујући и грејс период</w:t>
            </w:r>
            <w:r>
              <w:rPr>
                <w:rFonts w:ascii="Times New Roman" w:hAnsi="Times New Roman" w:cs="Times New Roman"/>
                <w:lang w:val="sr-Cyrl-RS"/>
              </w:rPr>
              <w:t xml:space="preserve"> - предузетници</w:t>
            </w:r>
          </w:p>
        </w:tc>
      </w:tr>
      <w:tr w:rsidR="00FF5AA3" w:rsidRPr="007E6257" w14:paraId="61A02CB5" w14:textId="77777777" w:rsidTr="00630FBD">
        <w:trPr>
          <w:trHeight w:val="112"/>
        </w:trPr>
        <w:tc>
          <w:tcPr>
            <w:tcW w:w="2727" w:type="dxa"/>
            <w:shd w:val="clear" w:color="auto" w:fill="auto"/>
          </w:tcPr>
          <w:p w14:paraId="2829A6F1"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Грејс период</w:t>
            </w:r>
          </w:p>
        </w:tc>
        <w:tc>
          <w:tcPr>
            <w:tcW w:w="6345" w:type="dxa"/>
            <w:shd w:val="clear" w:color="auto" w:fill="auto"/>
          </w:tcPr>
          <w:p w14:paraId="60F63D72"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До 12 месеци</w:t>
            </w:r>
          </w:p>
        </w:tc>
      </w:tr>
      <w:tr w:rsidR="00FF5AA3" w:rsidRPr="007E6257" w14:paraId="0FEFEE81" w14:textId="77777777" w:rsidTr="00630FBD">
        <w:trPr>
          <w:trHeight w:val="405"/>
        </w:trPr>
        <w:tc>
          <w:tcPr>
            <w:tcW w:w="2727" w:type="dxa"/>
            <w:shd w:val="clear" w:color="auto" w:fill="auto"/>
          </w:tcPr>
          <w:p w14:paraId="58E003FA"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Каматна стопа</w:t>
            </w:r>
          </w:p>
        </w:tc>
        <w:tc>
          <w:tcPr>
            <w:tcW w:w="6345" w:type="dxa"/>
            <w:shd w:val="clear" w:color="auto" w:fill="auto"/>
          </w:tcPr>
          <w:p w14:paraId="25058110" w14:textId="00EC5F1F" w:rsidR="00FF5AA3" w:rsidRPr="007E6257" w:rsidRDefault="00FF5AA3" w:rsidP="00BC77A4">
            <w:pPr>
              <w:rPr>
                <w:rFonts w:ascii="Times New Roman" w:hAnsi="Times New Roman" w:cs="Times New Roman"/>
                <w:lang w:val="sr-Cyrl-RS"/>
              </w:rPr>
            </w:pPr>
            <w:r>
              <w:rPr>
                <w:rFonts w:ascii="Times New Roman" w:hAnsi="Times New Roman" w:cs="Times New Roman"/>
                <w:lang w:val="sr-Cyrl-RS"/>
              </w:rPr>
              <w:t>1</w:t>
            </w:r>
            <w:r w:rsidRPr="007E6257">
              <w:rPr>
                <w:rFonts w:ascii="Times New Roman" w:hAnsi="Times New Roman" w:cs="Times New Roman"/>
                <w:lang w:val="sr-Cyrl-RS"/>
              </w:rPr>
              <w:t xml:space="preserve">,5% </w:t>
            </w:r>
            <w:r>
              <w:rPr>
                <w:rFonts w:ascii="Times New Roman" w:hAnsi="Times New Roman" w:cs="Times New Roman"/>
                <w:lang w:val="sr-Cyrl-RS"/>
              </w:rPr>
              <w:t xml:space="preserve">на годишњем нивоу, </w:t>
            </w:r>
            <w:r w:rsidRPr="007E6257">
              <w:rPr>
                <w:rFonts w:ascii="Times New Roman" w:hAnsi="Times New Roman" w:cs="Times New Roman"/>
                <w:lang w:val="sr-Cyrl-RS"/>
              </w:rPr>
              <w:t>фиксна</w:t>
            </w:r>
            <w:r>
              <w:rPr>
                <w:rFonts w:ascii="Times New Roman" w:hAnsi="Times New Roman" w:cs="Times New Roman"/>
                <w:lang w:val="sr-Cyrl-RS"/>
              </w:rPr>
              <w:t xml:space="preserve"> - </w:t>
            </w:r>
            <w:r w:rsidRPr="007E6257">
              <w:rPr>
                <w:rFonts w:ascii="Times New Roman" w:hAnsi="Times New Roman" w:cs="Times New Roman"/>
                <w:lang w:val="sr-Cyrl-RS"/>
              </w:rPr>
              <w:t>уз гаранцију банке</w:t>
            </w:r>
          </w:p>
          <w:p w14:paraId="5F350439" w14:textId="1F260002" w:rsidR="00FF5AA3" w:rsidRPr="007E6257" w:rsidRDefault="00FF5AA3" w:rsidP="00BC77A4">
            <w:pPr>
              <w:rPr>
                <w:rFonts w:ascii="Times New Roman" w:hAnsi="Times New Roman" w:cs="Times New Roman"/>
                <w:lang w:val="sr-Cyrl-RS"/>
              </w:rPr>
            </w:pPr>
            <w:r>
              <w:rPr>
                <w:rFonts w:ascii="Times New Roman" w:hAnsi="Times New Roman" w:cs="Times New Roman"/>
                <w:lang w:val="sr-Cyrl-RS"/>
              </w:rPr>
              <w:t>2</w:t>
            </w:r>
            <w:r w:rsidRPr="007E6257">
              <w:rPr>
                <w:rFonts w:ascii="Times New Roman" w:hAnsi="Times New Roman" w:cs="Times New Roman"/>
                <w:lang w:val="sr-Cyrl-RS"/>
              </w:rPr>
              <w:t xml:space="preserve">,5% </w:t>
            </w:r>
            <w:r>
              <w:rPr>
                <w:rFonts w:ascii="Times New Roman" w:hAnsi="Times New Roman" w:cs="Times New Roman"/>
                <w:lang w:val="sr-Cyrl-RS"/>
              </w:rPr>
              <w:t>на годишњем нивоу</w:t>
            </w:r>
            <w:r w:rsidRPr="007E6257">
              <w:rPr>
                <w:rFonts w:ascii="Times New Roman" w:hAnsi="Times New Roman" w:cs="Times New Roman"/>
                <w:lang w:val="sr-Cyrl-RS"/>
              </w:rPr>
              <w:t xml:space="preserve"> </w:t>
            </w:r>
            <w:r>
              <w:rPr>
                <w:rFonts w:ascii="Times New Roman" w:hAnsi="Times New Roman" w:cs="Times New Roman"/>
                <w:lang w:val="sr-Cyrl-RS"/>
              </w:rPr>
              <w:t xml:space="preserve">, </w:t>
            </w:r>
            <w:r w:rsidRPr="007E6257">
              <w:rPr>
                <w:rFonts w:ascii="Times New Roman" w:hAnsi="Times New Roman" w:cs="Times New Roman"/>
                <w:lang w:val="sr-Cyrl-RS"/>
              </w:rPr>
              <w:t>фиксна</w:t>
            </w:r>
            <w:r>
              <w:rPr>
                <w:rFonts w:ascii="Times New Roman" w:hAnsi="Times New Roman" w:cs="Times New Roman"/>
                <w:lang w:val="sr-Cyrl-RS"/>
              </w:rPr>
              <w:t xml:space="preserve"> - </w:t>
            </w:r>
            <w:r w:rsidRPr="007E6257">
              <w:rPr>
                <w:rFonts w:ascii="Times New Roman" w:hAnsi="Times New Roman" w:cs="Times New Roman"/>
                <w:lang w:val="sr-Cyrl-RS"/>
              </w:rPr>
              <w:t>уз остала средства обезбеђења</w:t>
            </w:r>
          </w:p>
        </w:tc>
      </w:tr>
      <w:tr w:rsidR="00FF5AA3" w:rsidRPr="007E6257" w14:paraId="58C5A1BF" w14:textId="77777777" w:rsidTr="00630FBD">
        <w:trPr>
          <w:trHeight w:val="551"/>
        </w:trPr>
        <w:tc>
          <w:tcPr>
            <w:tcW w:w="2727" w:type="dxa"/>
            <w:shd w:val="clear" w:color="auto" w:fill="auto"/>
          </w:tcPr>
          <w:p w14:paraId="029D7EA5"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Накнада за обраду захтева</w:t>
            </w:r>
          </w:p>
        </w:tc>
        <w:tc>
          <w:tcPr>
            <w:tcW w:w="6345" w:type="dxa"/>
            <w:shd w:val="clear" w:color="auto" w:fill="auto"/>
          </w:tcPr>
          <w:p w14:paraId="6F1020C2" w14:textId="3626792B"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0,</w:t>
            </w:r>
            <w:r>
              <w:rPr>
                <w:rFonts w:ascii="Times New Roman" w:hAnsi="Times New Roman" w:cs="Times New Roman"/>
                <w:lang w:val="sr-Cyrl-RS"/>
              </w:rPr>
              <w:t>3</w:t>
            </w:r>
            <w:r w:rsidRPr="007E6257">
              <w:rPr>
                <w:rFonts w:ascii="Times New Roman" w:hAnsi="Times New Roman" w:cs="Times New Roman"/>
                <w:lang w:val="sr-Cyrl-RS"/>
              </w:rPr>
              <w:t xml:space="preserve">% </w:t>
            </w:r>
            <w:r>
              <w:rPr>
                <w:rFonts w:ascii="Times New Roman" w:hAnsi="Times New Roman" w:cs="Times New Roman"/>
                <w:lang w:val="sr-Cyrl-RS"/>
              </w:rPr>
              <w:t xml:space="preserve">од износа одобреног кредита, </w:t>
            </w:r>
            <w:r w:rsidRPr="007E6257">
              <w:rPr>
                <w:rFonts w:ascii="Times New Roman" w:hAnsi="Times New Roman" w:cs="Times New Roman"/>
                <w:lang w:val="sr-Cyrl-RS"/>
              </w:rPr>
              <w:t xml:space="preserve">једнократно </w:t>
            </w:r>
            <w:r>
              <w:rPr>
                <w:rFonts w:ascii="Times New Roman" w:hAnsi="Times New Roman" w:cs="Times New Roman"/>
                <w:lang w:val="sr-Cyrl-RS"/>
              </w:rPr>
              <w:t>пре закључења уговора о кредиту</w:t>
            </w:r>
          </w:p>
        </w:tc>
      </w:tr>
      <w:tr w:rsidR="00FF5AA3" w:rsidRPr="007E6257" w14:paraId="481DD79B" w14:textId="77777777" w:rsidTr="00630FBD">
        <w:trPr>
          <w:trHeight w:val="393"/>
        </w:trPr>
        <w:tc>
          <w:tcPr>
            <w:tcW w:w="2727" w:type="dxa"/>
            <w:shd w:val="clear" w:color="auto" w:fill="auto"/>
          </w:tcPr>
          <w:p w14:paraId="30DB031D"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Начин отплате кредита</w:t>
            </w:r>
          </w:p>
        </w:tc>
        <w:tc>
          <w:tcPr>
            <w:tcW w:w="6345" w:type="dxa"/>
            <w:shd w:val="clear" w:color="auto" w:fill="auto"/>
          </w:tcPr>
          <w:p w14:paraId="5D134A7F" w14:textId="77777777" w:rsidR="00FF5AA3" w:rsidRPr="007E6257" w:rsidRDefault="00FF5AA3" w:rsidP="00BC77A4">
            <w:pPr>
              <w:rPr>
                <w:rFonts w:ascii="Times New Roman" w:hAnsi="Times New Roman" w:cs="Times New Roman"/>
                <w:lang w:val="sr-Cyrl-RS"/>
              </w:rPr>
            </w:pPr>
            <w:r w:rsidRPr="007E6257">
              <w:rPr>
                <w:rFonts w:ascii="Times New Roman" w:hAnsi="Times New Roman" w:cs="Times New Roman"/>
                <w:lang w:val="sr-Cyrl-RS"/>
              </w:rPr>
              <w:t>У месечним или тромесечним ануитетима</w:t>
            </w:r>
          </w:p>
        </w:tc>
      </w:tr>
      <w:tr w:rsidR="00FF5AA3" w:rsidRPr="003C2AEE" w14:paraId="1F05749C" w14:textId="77777777" w:rsidTr="00630FBD">
        <w:trPr>
          <w:trHeight w:val="768"/>
        </w:trPr>
        <w:tc>
          <w:tcPr>
            <w:tcW w:w="2727" w:type="dxa"/>
            <w:shd w:val="clear" w:color="auto" w:fill="auto"/>
          </w:tcPr>
          <w:p w14:paraId="3BE53D9C" w14:textId="616E13C5" w:rsidR="00FF5AA3" w:rsidRPr="007E6257" w:rsidRDefault="00FF5AA3" w:rsidP="00BC77A4">
            <w:pPr>
              <w:jc w:val="both"/>
              <w:rPr>
                <w:rFonts w:ascii="Times New Roman" w:hAnsi="Times New Roman" w:cs="Times New Roman"/>
                <w:lang w:val="sr-Cyrl-RS"/>
              </w:rPr>
            </w:pPr>
            <w:r>
              <w:rPr>
                <w:rFonts w:ascii="Times New Roman" w:hAnsi="Times New Roman" w:cs="Times New Roman"/>
                <w:lang w:val="sr-Cyrl-RS"/>
              </w:rPr>
              <w:t xml:space="preserve">Напомена </w:t>
            </w:r>
          </w:p>
        </w:tc>
        <w:tc>
          <w:tcPr>
            <w:tcW w:w="6345" w:type="dxa"/>
            <w:shd w:val="clear" w:color="auto" w:fill="auto"/>
          </w:tcPr>
          <w:p w14:paraId="2582339B" w14:textId="6A85DADF" w:rsidR="00630FBD" w:rsidRDefault="00630FBD" w:rsidP="00630FBD">
            <w:pPr>
              <w:pStyle w:val="ListParagraph"/>
              <w:numPr>
                <w:ilvl w:val="0"/>
                <w:numId w:val="3"/>
              </w:numPr>
              <w:spacing w:line="240" w:lineRule="auto"/>
              <w:jc w:val="both"/>
              <w:rPr>
                <w:rFonts w:ascii="Times New Roman" w:hAnsi="Times New Roman" w:cs="Times New Roman"/>
                <w:lang w:val="sr-Cyrl-RS"/>
              </w:rPr>
            </w:pPr>
            <w:r>
              <w:rPr>
                <w:rFonts w:ascii="Times New Roman" w:hAnsi="Times New Roman" w:cs="Times New Roman"/>
                <w:lang w:val="sr-Cyrl-RS"/>
              </w:rPr>
              <w:t>кредити се одобравају у динарима уз примену валутне клаузуле</w:t>
            </w:r>
          </w:p>
          <w:p w14:paraId="64795D84" w14:textId="70707695" w:rsidR="00630FBD" w:rsidRPr="00630FBD" w:rsidRDefault="00630FBD" w:rsidP="00630FBD">
            <w:pPr>
              <w:pStyle w:val="ListParagraph"/>
              <w:numPr>
                <w:ilvl w:val="0"/>
                <w:numId w:val="3"/>
              </w:numPr>
              <w:spacing w:line="240" w:lineRule="auto"/>
              <w:jc w:val="both"/>
              <w:rPr>
                <w:rFonts w:ascii="Times New Roman" w:hAnsi="Times New Roman" w:cs="Times New Roman"/>
                <w:lang w:val="sr-Cyrl-RS"/>
              </w:rPr>
            </w:pPr>
            <w:r>
              <w:rPr>
                <w:rFonts w:ascii="Times New Roman" w:hAnsi="Times New Roman" w:cs="Times New Roman"/>
                <w:lang w:val="sr-Cyrl-RS"/>
              </w:rPr>
              <w:t>током трајања грејс периода обрачуната камата се приписује главном дугу</w:t>
            </w:r>
          </w:p>
        </w:tc>
      </w:tr>
    </w:tbl>
    <w:p w14:paraId="7F52C70C" w14:textId="77777777" w:rsidR="00FF5AA3" w:rsidRPr="00FF5AA3" w:rsidRDefault="00FF5AA3" w:rsidP="000A0F5A">
      <w:pPr>
        <w:jc w:val="both"/>
        <w:rPr>
          <w:rFonts w:ascii="Times New Roman" w:hAnsi="Times New Roman" w:cs="Times New Roman"/>
          <w:lang w:val="sr-Cyrl-RS"/>
        </w:rPr>
      </w:pPr>
    </w:p>
    <w:p w14:paraId="4DBB05A4" w14:textId="4CD0A964" w:rsidR="000A0F5A" w:rsidRPr="00A85A7C" w:rsidRDefault="00C35564">
      <w:pPr>
        <w:rPr>
          <w:rFonts w:ascii="Times New Roman" w:hAnsi="Times New Roman" w:cs="Times New Roman"/>
          <w:lang w:val="sr-Cyrl-RS"/>
        </w:rPr>
      </w:pPr>
      <w:r w:rsidRPr="00A85A7C">
        <w:rPr>
          <w:rFonts w:ascii="Times New Roman" w:hAnsi="Times New Roman" w:cs="Times New Roman"/>
        </w:rPr>
        <w:t xml:space="preserve"> </w:t>
      </w:r>
      <w:proofErr w:type="spellStart"/>
      <w:r w:rsidRPr="00A85A7C">
        <w:rPr>
          <w:rFonts w:ascii="Times New Roman" w:hAnsi="Times New Roman" w:cs="Times New Roman"/>
        </w:rPr>
        <w:t>Средства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овом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програму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могу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користити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кредитирање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свих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привредних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грана</w:t>
      </w:r>
      <w:proofErr w:type="spellEnd"/>
      <w:r w:rsidR="000A0F5A" w:rsidRPr="00A85A7C">
        <w:rPr>
          <w:rFonts w:ascii="Times New Roman" w:hAnsi="Times New Roman" w:cs="Times New Roman"/>
          <w:lang w:val="sr-Cyrl-RS"/>
        </w:rPr>
        <w:t xml:space="preserve"> осим грана које се баве:</w:t>
      </w:r>
    </w:p>
    <w:p w14:paraId="508E40E9" w14:textId="77777777" w:rsidR="000A0F5A" w:rsidRPr="00A85A7C" w:rsidRDefault="000A0F5A" w:rsidP="000A0F5A">
      <w:pPr>
        <w:pStyle w:val="ListParagraph"/>
        <w:numPr>
          <w:ilvl w:val="0"/>
          <w:numId w:val="1"/>
        </w:numPr>
        <w:rPr>
          <w:rFonts w:ascii="Times New Roman" w:hAnsi="Times New Roman" w:cs="Times New Roman"/>
          <w:lang w:val="sr-Cyrl-RS"/>
        </w:rPr>
      </w:pPr>
      <w:r w:rsidRPr="00A85A7C">
        <w:rPr>
          <w:rFonts w:ascii="Times New Roman" w:hAnsi="Times New Roman" w:cs="Times New Roman"/>
          <w:lang w:val="sr-Cyrl-RS"/>
        </w:rPr>
        <w:t>о</w:t>
      </w:r>
      <w:proofErr w:type="spellStart"/>
      <w:r w:rsidRPr="00A85A7C">
        <w:rPr>
          <w:rFonts w:ascii="Times New Roman" w:hAnsi="Times New Roman" w:cs="Times New Roman"/>
        </w:rPr>
        <w:t>рганизовање</w:t>
      </w:r>
      <w:proofErr w:type="spellEnd"/>
      <w:r w:rsidRPr="00A85A7C">
        <w:rPr>
          <w:rFonts w:ascii="Times New Roman" w:hAnsi="Times New Roman" w:cs="Times New Roman"/>
          <w:lang w:val="sr-Cyrl-RS"/>
        </w:rPr>
        <w:t>м</w:t>
      </w:r>
      <w:r w:rsidRPr="00A85A7C">
        <w:rPr>
          <w:rFonts w:ascii="Times New Roman" w:hAnsi="Times New Roman" w:cs="Times New Roman"/>
        </w:rPr>
        <w:t xml:space="preserve"> </w:t>
      </w:r>
      <w:proofErr w:type="spellStart"/>
      <w:r w:rsidRPr="00A85A7C">
        <w:rPr>
          <w:rFonts w:ascii="Times New Roman" w:hAnsi="Times New Roman" w:cs="Times New Roman"/>
        </w:rPr>
        <w:t>игара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срећу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лутрија</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сличних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делатности</w:t>
      </w:r>
      <w:proofErr w:type="spellEnd"/>
      <w:r w:rsidRPr="00A85A7C">
        <w:rPr>
          <w:rFonts w:ascii="Times New Roman" w:hAnsi="Times New Roman" w:cs="Times New Roman"/>
        </w:rPr>
        <w:t>;</w:t>
      </w:r>
    </w:p>
    <w:p w14:paraId="61ABE1A7" w14:textId="77777777" w:rsidR="000A0F5A" w:rsidRPr="00A85A7C" w:rsidRDefault="000A0F5A" w:rsidP="000A0F5A">
      <w:pPr>
        <w:pStyle w:val="ListParagraph"/>
        <w:numPr>
          <w:ilvl w:val="0"/>
          <w:numId w:val="1"/>
        </w:numPr>
        <w:rPr>
          <w:rFonts w:ascii="Times New Roman" w:hAnsi="Times New Roman" w:cs="Times New Roman"/>
          <w:lang w:val="sr-Cyrl-RS"/>
        </w:rPr>
      </w:pPr>
      <w:r w:rsidRPr="00A85A7C">
        <w:rPr>
          <w:rFonts w:ascii="Times New Roman" w:hAnsi="Times New Roman" w:cs="Times New Roman"/>
          <w:lang w:val="sr-Cyrl-RS"/>
        </w:rPr>
        <w:t>п</w:t>
      </w:r>
      <w:proofErr w:type="spellStart"/>
      <w:r w:rsidR="00C35564" w:rsidRPr="00A85A7C">
        <w:rPr>
          <w:rFonts w:ascii="Times New Roman" w:hAnsi="Times New Roman" w:cs="Times New Roman"/>
        </w:rPr>
        <w:t>роизводњ</w:t>
      </w:r>
      <w:proofErr w:type="spellEnd"/>
      <w:r w:rsidRPr="00A85A7C">
        <w:rPr>
          <w:rFonts w:ascii="Times New Roman" w:hAnsi="Times New Roman" w:cs="Times New Roman"/>
          <w:lang w:val="sr-Cyrl-RS"/>
        </w:rPr>
        <w:t>ом</w:t>
      </w:r>
      <w:r w:rsidR="00C35564" w:rsidRPr="00A85A7C">
        <w:rPr>
          <w:rFonts w:ascii="Times New Roman" w:hAnsi="Times New Roman" w:cs="Times New Roman"/>
        </w:rPr>
        <w:t xml:space="preserve"> и </w:t>
      </w:r>
      <w:proofErr w:type="spellStart"/>
      <w:r w:rsidR="00C35564" w:rsidRPr="00A85A7C">
        <w:rPr>
          <w:rFonts w:ascii="Times New Roman" w:hAnsi="Times New Roman" w:cs="Times New Roman"/>
        </w:rPr>
        <w:t>промет</w:t>
      </w:r>
      <w:proofErr w:type="spellEnd"/>
      <w:r w:rsidRPr="00A85A7C">
        <w:rPr>
          <w:rFonts w:ascii="Times New Roman" w:hAnsi="Times New Roman" w:cs="Times New Roman"/>
          <w:lang w:val="sr-Cyrl-RS"/>
        </w:rPr>
        <w:t>ом</w:t>
      </w:r>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било</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ког</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производа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или</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активности</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које</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се</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према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домаћим</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прописима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или</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међународним</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конвенцијама</w:t>
      </w:r>
      <w:proofErr w:type="spellEnd"/>
      <w:r w:rsidR="00C35564" w:rsidRPr="00A85A7C">
        <w:rPr>
          <w:rFonts w:ascii="Times New Roman" w:hAnsi="Times New Roman" w:cs="Times New Roman"/>
        </w:rPr>
        <w:t xml:space="preserve"> и </w:t>
      </w:r>
      <w:proofErr w:type="spellStart"/>
      <w:r w:rsidR="00C35564" w:rsidRPr="00A85A7C">
        <w:rPr>
          <w:rFonts w:ascii="Times New Roman" w:hAnsi="Times New Roman" w:cs="Times New Roman"/>
        </w:rPr>
        <w:t>споразумима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сматрају</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забрањеним</w:t>
      </w:r>
      <w:proofErr w:type="spellEnd"/>
      <w:r w:rsidRPr="00A85A7C">
        <w:rPr>
          <w:rFonts w:ascii="Times New Roman" w:hAnsi="Times New Roman" w:cs="Times New Roman"/>
          <w:lang w:val="sr-Cyrl-RS"/>
        </w:rPr>
        <w:t>;</w:t>
      </w:r>
    </w:p>
    <w:p w14:paraId="572EB3C2" w14:textId="0BDEBD61" w:rsidR="00FF5AA3" w:rsidRPr="00FF5AA3" w:rsidRDefault="000A0F5A" w:rsidP="00FF5AA3">
      <w:pPr>
        <w:pStyle w:val="ListParagraph"/>
        <w:numPr>
          <w:ilvl w:val="0"/>
          <w:numId w:val="1"/>
        </w:numPr>
        <w:rPr>
          <w:rFonts w:ascii="Times New Roman" w:hAnsi="Times New Roman" w:cs="Times New Roman"/>
          <w:lang w:val="sr-Cyrl-RS"/>
        </w:rPr>
      </w:pPr>
      <w:r w:rsidRPr="00A85A7C">
        <w:rPr>
          <w:rFonts w:ascii="Times New Roman" w:hAnsi="Times New Roman" w:cs="Times New Roman"/>
          <w:lang w:val="sr-Cyrl-RS"/>
        </w:rPr>
        <w:t>п</w:t>
      </w:r>
      <w:proofErr w:type="spellStart"/>
      <w:r w:rsidR="00C35564" w:rsidRPr="00A85A7C">
        <w:rPr>
          <w:rFonts w:ascii="Times New Roman" w:hAnsi="Times New Roman" w:cs="Times New Roman"/>
        </w:rPr>
        <w:t>ромет</w:t>
      </w:r>
      <w:proofErr w:type="spellEnd"/>
      <w:r w:rsidRPr="00A85A7C">
        <w:rPr>
          <w:rFonts w:ascii="Times New Roman" w:hAnsi="Times New Roman" w:cs="Times New Roman"/>
          <w:lang w:val="sr-Cyrl-RS"/>
        </w:rPr>
        <w:t>ом</w:t>
      </w:r>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нафте</w:t>
      </w:r>
      <w:proofErr w:type="spellEnd"/>
      <w:r w:rsidR="00C35564" w:rsidRPr="00A85A7C">
        <w:rPr>
          <w:rFonts w:ascii="Times New Roman" w:hAnsi="Times New Roman" w:cs="Times New Roman"/>
        </w:rPr>
        <w:t xml:space="preserve"> и </w:t>
      </w:r>
      <w:proofErr w:type="spellStart"/>
      <w:r w:rsidR="00C35564" w:rsidRPr="00A85A7C">
        <w:rPr>
          <w:rFonts w:ascii="Times New Roman" w:hAnsi="Times New Roman" w:cs="Times New Roman"/>
        </w:rPr>
        <w:t>нафтних</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деривата</w:t>
      </w:r>
      <w:proofErr w:type="spellEnd"/>
      <w:r w:rsidR="00C35564" w:rsidRPr="00A85A7C">
        <w:rPr>
          <w:rFonts w:ascii="Times New Roman" w:hAnsi="Times New Roman" w:cs="Times New Roman"/>
        </w:rPr>
        <w:t xml:space="preserve">.    </w:t>
      </w:r>
    </w:p>
    <w:p w14:paraId="18D2CBD6" w14:textId="76488048" w:rsidR="000A0F5A" w:rsidRPr="00BB6D71" w:rsidRDefault="00C35564" w:rsidP="000A0F5A">
      <w:pPr>
        <w:rPr>
          <w:rFonts w:ascii="Times New Roman" w:hAnsi="Times New Roman" w:cs="Times New Roman"/>
          <w:lang w:val="sr-Cyrl-RS"/>
        </w:rPr>
      </w:pPr>
      <w:proofErr w:type="spellStart"/>
      <w:r w:rsidRPr="00BB6D71">
        <w:rPr>
          <w:rFonts w:ascii="Times New Roman" w:hAnsi="Times New Roman" w:cs="Times New Roman"/>
        </w:rPr>
        <w:t>Минимални</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број</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запослених</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радника</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за</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максимални</w:t>
      </w:r>
      <w:proofErr w:type="spellEnd"/>
      <w:r w:rsidRPr="00BB6D71">
        <w:rPr>
          <w:rFonts w:ascii="Times New Roman" w:hAnsi="Times New Roman" w:cs="Times New Roman"/>
        </w:rPr>
        <w:t xml:space="preserve"> </w:t>
      </w:r>
      <w:proofErr w:type="spellStart"/>
      <w:r w:rsidRPr="00BB6D71">
        <w:rPr>
          <w:rFonts w:ascii="Times New Roman" w:hAnsi="Times New Roman" w:cs="Times New Roman"/>
        </w:rPr>
        <w:t>износ</w:t>
      </w:r>
      <w:proofErr w:type="spellEnd"/>
      <w:r w:rsidRPr="00BB6D71">
        <w:rPr>
          <w:rFonts w:ascii="Times New Roman" w:hAnsi="Times New Roman" w:cs="Times New Roman"/>
        </w:rPr>
        <w:t xml:space="preserve"> </w:t>
      </w:r>
      <w:r w:rsidR="00BB6D71" w:rsidRPr="00BB6D71">
        <w:rPr>
          <w:rFonts w:ascii="Times New Roman" w:hAnsi="Times New Roman" w:cs="Times New Roman"/>
          <w:lang w:val="sr-Cyrl-RS"/>
        </w:rPr>
        <w:t xml:space="preserve">кредита </w:t>
      </w:r>
      <w:proofErr w:type="spellStart"/>
      <w:r w:rsidRPr="00BB6D71">
        <w:rPr>
          <w:rFonts w:ascii="Times New Roman" w:hAnsi="Times New Roman" w:cs="Times New Roman"/>
        </w:rPr>
        <w:t>је</w:t>
      </w:r>
      <w:proofErr w:type="spellEnd"/>
      <w:r w:rsidRPr="00BB6D71">
        <w:rPr>
          <w:rFonts w:ascii="Times New Roman" w:hAnsi="Times New Roman" w:cs="Times New Roman"/>
        </w:rPr>
        <w:t xml:space="preserve"> 50 </w:t>
      </w:r>
      <w:proofErr w:type="spellStart"/>
      <w:r w:rsidRPr="00BB6D71">
        <w:rPr>
          <w:rFonts w:ascii="Times New Roman" w:hAnsi="Times New Roman" w:cs="Times New Roman"/>
        </w:rPr>
        <w:t>радника</w:t>
      </w:r>
      <w:proofErr w:type="spellEnd"/>
      <w:r w:rsidRPr="00BB6D71">
        <w:rPr>
          <w:rFonts w:ascii="Times New Roman" w:hAnsi="Times New Roman" w:cs="Times New Roman"/>
        </w:rPr>
        <w:t xml:space="preserve">.   </w:t>
      </w:r>
    </w:p>
    <w:p w14:paraId="6B0B8028" w14:textId="5C5A1123" w:rsidR="00996AAE" w:rsidRPr="00A85A7C" w:rsidRDefault="00996AAE" w:rsidP="000A0F5A">
      <w:pPr>
        <w:jc w:val="both"/>
        <w:rPr>
          <w:rFonts w:ascii="Times New Roman" w:hAnsi="Times New Roman" w:cs="Times New Roman"/>
        </w:rPr>
      </w:pPr>
      <w:r w:rsidRPr="00A85A7C">
        <w:rPr>
          <w:rFonts w:ascii="Times New Roman" w:hAnsi="Times New Roman" w:cs="Times New Roman"/>
          <w:lang w:val="sr-Cyrl-RS"/>
        </w:rPr>
        <w:t>Фонд одобрава кредите за финансирање нов</w:t>
      </w:r>
      <w:r w:rsidR="00946068" w:rsidRPr="00A85A7C">
        <w:rPr>
          <w:rFonts w:ascii="Times New Roman" w:hAnsi="Times New Roman" w:cs="Times New Roman"/>
          <w:lang w:val="sr-Cyrl-RS"/>
        </w:rPr>
        <w:t>их</w:t>
      </w:r>
      <w:r w:rsidRPr="00A85A7C">
        <w:rPr>
          <w:rFonts w:ascii="Times New Roman" w:hAnsi="Times New Roman" w:cs="Times New Roman"/>
          <w:lang w:val="sr-Cyrl-RS"/>
        </w:rPr>
        <w:t xml:space="preserve"> </w:t>
      </w:r>
      <w:r w:rsidR="00946068" w:rsidRPr="00A85A7C">
        <w:rPr>
          <w:rFonts w:ascii="Times New Roman" w:hAnsi="Times New Roman" w:cs="Times New Roman"/>
          <w:lang w:val="sr-Cyrl-RS"/>
        </w:rPr>
        <w:t>улагања</w:t>
      </w:r>
      <w:r w:rsidR="00C35564" w:rsidRPr="00A85A7C">
        <w:rPr>
          <w:rFonts w:ascii="Times New Roman" w:hAnsi="Times New Roman" w:cs="Times New Roman"/>
        </w:rPr>
        <w:t>.</w:t>
      </w:r>
    </w:p>
    <w:p w14:paraId="6EE66FA1" w14:textId="77777777" w:rsidR="00996AAE" w:rsidRPr="00A85A7C" w:rsidRDefault="00C35564" w:rsidP="000A0F5A">
      <w:pPr>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Под</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новим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улагањима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која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могу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кредитирати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сматрају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се</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она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улагања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која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реализована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шест</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месеци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датума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подношења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захтева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кредит</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штa</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је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инвеститор</w:t>
      </w:r>
      <w:proofErr w:type="spellEnd"/>
      <w:r w:rsidRPr="00A85A7C">
        <w:rPr>
          <w:rFonts w:ascii="Times New Roman" w:hAnsi="Times New Roman" w:cs="Times New Roman"/>
        </w:rPr>
        <w:t xml:space="preserve"> у </w:t>
      </w:r>
      <w:proofErr w:type="spellStart"/>
      <w:r w:rsidRPr="00A85A7C">
        <w:rPr>
          <w:rFonts w:ascii="Times New Roman" w:hAnsi="Times New Roman" w:cs="Times New Roman"/>
        </w:rPr>
        <w:t>обавези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пружи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валидне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доказе</w:t>
      </w:r>
      <w:proofErr w:type="spellEnd"/>
      <w:r w:rsidRPr="00A85A7C">
        <w:rPr>
          <w:rFonts w:ascii="Times New Roman" w:hAnsi="Times New Roman" w:cs="Times New Roman"/>
        </w:rPr>
        <w:t xml:space="preserve">. </w:t>
      </w:r>
    </w:p>
    <w:p w14:paraId="2002C86E" w14:textId="257B31D6" w:rsidR="002A724A" w:rsidRPr="00A85A7C" w:rsidRDefault="002A724A" w:rsidP="000A0F5A">
      <w:pPr>
        <w:jc w:val="both"/>
        <w:rPr>
          <w:rFonts w:ascii="Times New Roman" w:hAnsi="Times New Roman" w:cs="Times New Roman"/>
          <w:lang w:val="sr-Cyrl-RS"/>
        </w:rPr>
      </w:pPr>
      <w:r w:rsidRPr="00A85A7C">
        <w:rPr>
          <w:rFonts w:ascii="Times New Roman" w:hAnsi="Times New Roman" w:cs="Times New Roman"/>
          <w:lang w:val="sr-Cyrl-RS"/>
        </w:rPr>
        <w:t>Продавац, и</w:t>
      </w:r>
      <w:proofErr w:type="spellStart"/>
      <w:r w:rsidR="00C35564" w:rsidRPr="00A85A7C">
        <w:rPr>
          <w:rFonts w:ascii="Times New Roman" w:hAnsi="Times New Roman" w:cs="Times New Roman"/>
        </w:rPr>
        <w:t>споручилац</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опреме</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не</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може</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бити</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физичко</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лице</w:t>
      </w:r>
      <w:proofErr w:type="spellEnd"/>
      <w:r w:rsidRPr="00A85A7C">
        <w:rPr>
          <w:rFonts w:ascii="Times New Roman" w:hAnsi="Times New Roman" w:cs="Times New Roman"/>
          <w:lang w:val="sr-Cyrl-RS"/>
        </w:rPr>
        <w:t>.</w:t>
      </w:r>
      <w:r w:rsidR="00630FBD">
        <w:rPr>
          <w:rFonts w:ascii="Times New Roman" w:hAnsi="Times New Roman" w:cs="Times New Roman"/>
          <w:lang w:val="sr-Cyrl-RS"/>
        </w:rPr>
        <w:t xml:space="preserve"> </w:t>
      </w:r>
    </w:p>
    <w:p w14:paraId="3F835898" w14:textId="55408949" w:rsidR="002A724A" w:rsidRPr="00A85A7C" w:rsidRDefault="00C35564" w:rsidP="000A0F5A">
      <w:pPr>
        <w:jc w:val="both"/>
        <w:rPr>
          <w:rFonts w:ascii="Times New Roman" w:hAnsi="Times New Roman" w:cs="Times New Roman"/>
        </w:rPr>
      </w:pPr>
      <w:proofErr w:type="spellStart"/>
      <w:r w:rsidRPr="00A85A7C">
        <w:rPr>
          <w:rFonts w:ascii="Times New Roman" w:hAnsi="Times New Roman" w:cs="Times New Roman"/>
        </w:rPr>
        <w:t>Продавац</w:t>
      </w:r>
      <w:proofErr w:type="spellEnd"/>
      <w:r w:rsidRPr="00A85A7C">
        <w:rPr>
          <w:rFonts w:ascii="Times New Roman" w:hAnsi="Times New Roman" w:cs="Times New Roman"/>
        </w:rPr>
        <w:t xml:space="preserve"> </w:t>
      </w:r>
      <w:r w:rsidR="00A85A7C">
        <w:rPr>
          <w:rFonts w:ascii="Times New Roman" w:hAnsi="Times New Roman" w:cs="Times New Roman"/>
          <w:lang w:val="sr-Cyrl-RS"/>
        </w:rPr>
        <w:t xml:space="preserve">непокретности/опреме </w:t>
      </w:r>
      <w:proofErr w:type="spellStart"/>
      <w:r w:rsidRPr="00A85A7C">
        <w:rPr>
          <w:rFonts w:ascii="Times New Roman" w:hAnsi="Times New Roman" w:cs="Times New Roman"/>
        </w:rPr>
        <w:t>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може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бити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повезано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лице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корисником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кредита</w:t>
      </w:r>
      <w:proofErr w:type="spellEnd"/>
      <w:r w:rsidRPr="00A85A7C">
        <w:rPr>
          <w:rFonts w:ascii="Times New Roman" w:hAnsi="Times New Roman" w:cs="Times New Roman"/>
        </w:rPr>
        <w:t xml:space="preserve">, у </w:t>
      </w:r>
      <w:proofErr w:type="spellStart"/>
      <w:r w:rsidRPr="00A85A7C">
        <w:rPr>
          <w:rFonts w:ascii="Times New Roman" w:hAnsi="Times New Roman" w:cs="Times New Roman"/>
        </w:rPr>
        <w:t>смислу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Закона</w:t>
      </w:r>
      <w:proofErr w:type="spellEnd"/>
      <w:r w:rsidRPr="00A85A7C">
        <w:rPr>
          <w:rFonts w:ascii="Times New Roman" w:hAnsi="Times New Roman" w:cs="Times New Roman"/>
        </w:rPr>
        <w:t xml:space="preserve"> о </w:t>
      </w:r>
      <w:proofErr w:type="spellStart"/>
      <w:r w:rsidRPr="00B14A98">
        <w:rPr>
          <w:rFonts w:ascii="Times New Roman" w:hAnsi="Times New Roman" w:cs="Times New Roman"/>
        </w:rPr>
        <w:t>банкама</w:t>
      </w:r>
      <w:proofErr w:type="spellEnd"/>
      <w:r w:rsidR="00030C13" w:rsidRPr="00B14A98">
        <w:rPr>
          <w:rFonts w:ascii="Times New Roman" w:hAnsi="Times New Roman" w:cs="Times New Roman"/>
        </w:rPr>
        <w:t xml:space="preserve"> </w:t>
      </w:r>
      <w:r w:rsidR="00030C13" w:rsidRPr="00B14A98">
        <w:rPr>
          <w:rFonts w:ascii="Times New Roman" w:hAnsi="Times New Roman" w:cs="Times New Roman"/>
          <w:lang w:val="sr-Cyrl-RS"/>
        </w:rPr>
        <w:t>и Закона о привредним друштвима</w:t>
      </w:r>
      <w:r w:rsidRPr="00B14A98">
        <w:rPr>
          <w:rFonts w:ascii="Times New Roman" w:hAnsi="Times New Roman" w:cs="Times New Roman"/>
        </w:rPr>
        <w:t>.</w:t>
      </w:r>
      <w:r w:rsidR="00030C13" w:rsidRPr="00B14A98">
        <w:rPr>
          <w:rFonts w:ascii="Times New Roman" w:hAnsi="Times New Roman" w:cs="Times New Roman"/>
        </w:rPr>
        <w:t xml:space="preserve"> </w:t>
      </w:r>
      <w:r w:rsidRPr="00B14A98">
        <w:rPr>
          <w:rFonts w:ascii="Times New Roman" w:hAnsi="Times New Roman" w:cs="Times New Roman"/>
        </w:rPr>
        <w:t xml:space="preserve">   </w:t>
      </w:r>
    </w:p>
    <w:p w14:paraId="1CFD01C5" w14:textId="5788D266" w:rsidR="002A724A" w:rsidRPr="00A85A7C" w:rsidRDefault="002A724A" w:rsidP="000A0F5A">
      <w:pPr>
        <w:jc w:val="both"/>
        <w:rPr>
          <w:rFonts w:ascii="Times New Roman" w:hAnsi="Times New Roman" w:cs="Times New Roman"/>
          <w:lang w:val="sr-Cyrl-RS"/>
        </w:rPr>
      </w:pPr>
      <w:r w:rsidRPr="00A85A7C">
        <w:rPr>
          <w:rFonts w:ascii="Times New Roman" w:hAnsi="Times New Roman" w:cs="Times New Roman"/>
          <w:lang w:val="sr-Cyrl-RS"/>
        </w:rPr>
        <w:t>Као и</w:t>
      </w:r>
      <w:proofErr w:type="spellStart"/>
      <w:r w:rsidR="00C35564" w:rsidRPr="00A85A7C">
        <w:rPr>
          <w:rFonts w:ascii="Times New Roman" w:hAnsi="Times New Roman" w:cs="Times New Roman"/>
        </w:rPr>
        <w:t>нструменти</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обезбеђења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уредног</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враћања</w:t>
      </w:r>
      <w:proofErr w:type="spellEnd"/>
      <w:r w:rsidR="00C35564" w:rsidRPr="00A85A7C">
        <w:rPr>
          <w:rFonts w:ascii="Times New Roman" w:hAnsi="Times New Roman" w:cs="Times New Roman"/>
        </w:rPr>
        <w:t xml:space="preserve"> </w:t>
      </w:r>
      <w:proofErr w:type="spellStart"/>
      <w:r w:rsidR="00C35564" w:rsidRPr="00A85A7C">
        <w:rPr>
          <w:rFonts w:ascii="Times New Roman" w:hAnsi="Times New Roman" w:cs="Times New Roman"/>
        </w:rPr>
        <w:t>кредита</w:t>
      </w:r>
      <w:proofErr w:type="spellEnd"/>
      <w:r w:rsidR="00C35564" w:rsidRPr="00A85A7C">
        <w:rPr>
          <w:rFonts w:ascii="Times New Roman" w:hAnsi="Times New Roman" w:cs="Times New Roman"/>
        </w:rPr>
        <w:t xml:space="preserve"> </w:t>
      </w:r>
      <w:r w:rsidRPr="00A85A7C">
        <w:rPr>
          <w:rFonts w:ascii="Times New Roman" w:hAnsi="Times New Roman" w:cs="Times New Roman"/>
          <w:lang w:val="sr-Cyrl-RS"/>
        </w:rPr>
        <w:t xml:space="preserve">може служити једно или </w:t>
      </w:r>
      <w:r w:rsidR="00A85A7C" w:rsidRPr="00A85A7C">
        <w:rPr>
          <w:rFonts w:ascii="Times New Roman" w:hAnsi="Times New Roman" w:cs="Times New Roman"/>
          <w:lang w:val="sr-Cyrl-RS"/>
        </w:rPr>
        <w:t xml:space="preserve">комбинација </w:t>
      </w:r>
      <w:r w:rsidRPr="00A85A7C">
        <w:rPr>
          <w:rFonts w:ascii="Times New Roman" w:hAnsi="Times New Roman" w:cs="Times New Roman"/>
          <w:lang w:val="sr-Cyrl-RS"/>
        </w:rPr>
        <w:t>више следећих инструмената обезбеђења:</w:t>
      </w:r>
    </w:p>
    <w:p w14:paraId="3285F60C" w14:textId="77777777" w:rsidR="00A85A7C" w:rsidRPr="00A85A7C" w:rsidRDefault="00A85A7C" w:rsidP="00A85A7C">
      <w:pPr>
        <w:pStyle w:val="ListParagraph"/>
        <w:numPr>
          <w:ilvl w:val="0"/>
          <w:numId w:val="2"/>
        </w:numPr>
        <w:spacing w:line="240" w:lineRule="auto"/>
        <w:jc w:val="both"/>
        <w:rPr>
          <w:rFonts w:ascii="Times New Roman" w:hAnsi="Times New Roman" w:cs="Times New Roman"/>
        </w:rPr>
      </w:pPr>
      <w:proofErr w:type="spellStart"/>
      <w:r w:rsidRPr="00A85A7C">
        <w:rPr>
          <w:rFonts w:ascii="Times New Roman" w:hAnsi="Times New Roman" w:cs="Times New Roman"/>
        </w:rPr>
        <w:t>гаранција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пословне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банке</w:t>
      </w:r>
      <w:proofErr w:type="spellEnd"/>
      <w:r w:rsidRPr="00A85A7C">
        <w:rPr>
          <w:rFonts w:ascii="Times New Roman" w:hAnsi="Times New Roman" w:cs="Times New Roman"/>
          <w:lang w:val="sr-Cyrl-RS"/>
        </w:rPr>
        <w:t xml:space="preserve">; </w:t>
      </w:r>
    </w:p>
    <w:p w14:paraId="55585798" w14:textId="77777777" w:rsidR="00A85A7C" w:rsidRPr="00A85A7C" w:rsidRDefault="00A85A7C" w:rsidP="00A85A7C">
      <w:pPr>
        <w:pStyle w:val="ListParagraph"/>
        <w:numPr>
          <w:ilvl w:val="0"/>
          <w:numId w:val="2"/>
        </w:numPr>
        <w:spacing w:line="240" w:lineRule="auto"/>
        <w:jc w:val="both"/>
        <w:rPr>
          <w:rFonts w:ascii="Times New Roman" w:hAnsi="Times New Roman" w:cs="Times New Roman"/>
        </w:rPr>
      </w:pPr>
      <w:proofErr w:type="spellStart"/>
      <w:r w:rsidRPr="00A85A7C">
        <w:rPr>
          <w:rFonts w:ascii="Times New Roman" w:hAnsi="Times New Roman" w:cs="Times New Roman"/>
        </w:rPr>
        <w:lastRenderedPageBreak/>
        <w:t>хипотека</w:t>
      </w:r>
      <w:proofErr w:type="spellEnd"/>
      <w:r w:rsidRPr="00A85A7C">
        <w:rPr>
          <w:rFonts w:ascii="Times New Roman" w:hAnsi="Times New Roman" w:cs="Times New Roman"/>
        </w:rPr>
        <w:t xml:space="preserve"> </w:t>
      </w:r>
      <w:r w:rsidRPr="00A85A7C">
        <w:rPr>
          <w:rFonts w:ascii="Times New Roman" w:hAnsi="Times New Roman" w:cs="Times New Roman"/>
          <w:lang w:val="sr-Latn-RS"/>
        </w:rPr>
        <w:t>I</w:t>
      </w:r>
      <w:r w:rsidRPr="00A85A7C">
        <w:rPr>
          <w:rFonts w:ascii="Times New Roman" w:hAnsi="Times New Roman" w:cs="Times New Roman"/>
        </w:rPr>
        <w:t xml:space="preserve"> </w:t>
      </w:r>
      <w:proofErr w:type="spellStart"/>
      <w:r w:rsidRPr="00A85A7C">
        <w:rPr>
          <w:rFonts w:ascii="Times New Roman" w:hAnsi="Times New Roman" w:cs="Times New Roman"/>
        </w:rPr>
        <w:t>реда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непокретностима</w:t>
      </w:r>
      <w:proofErr w:type="spellEnd"/>
      <w:r w:rsidRPr="00A85A7C">
        <w:rPr>
          <w:rFonts w:ascii="Times New Roman" w:hAnsi="Times New Roman" w:cs="Times New Roman"/>
          <w:lang w:val="sr-Cyrl-RS"/>
        </w:rPr>
        <w:t xml:space="preserve">; </w:t>
      </w:r>
    </w:p>
    <w:p w14:paraId="3497C527" w14:textId="77777777" w:rsidR="00A85A7C" w:rsidRPr="00A85A7C" w:rsidRDefault="00A85A7C" w:rsidP="00A85A7C">
      <w:pPr>
        <w:pStyle w:val="ListParagraph"/>
        <w:numPr>
          <w:ilvl w:val="0"/>
          <w:numId w:val="2"/>
        </w:numPr>
        <w:spacing w:line="240" w:lineRule="auto"/>
        <w:jc w:val="both"/>
        <w:rPr>
          <w:rFonts w:ascii="Times New Roman" w:hAnsi="Times New Roman" w:cs="Times New Roman"/>
        </w:rPr>
      </w:pPr>
      <w:proofErr w:type="spellStart"/>
      <w:r w:rsidRPr="00A85A7C">
        <w:rPr>
          <w:rFonts w:ascii="Times New Roman" w:hAnsi="Times New Roman" w:cs="Times New Roman"/>
        </w:rPr>
        <w:t>залога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постојећој</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производној</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опреми</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другим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покретним</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стварима</w:t>
      </w:r>
      <w:proofErr w:type="spellEnd"/>
      <w:r w:rsidRPr="00A85A7C">
        <w:rPr>
          <w:rFonts w:ascii="Times New Roman" w:hAnsi="Times New Roman" w:cs="Times New Roman"/>
          <w:lang w:val="sr-Cyrl-RS"/>
        </w:rPr>
        <w:t xml:space="preserve">; </w:t>
      </w:r>
    </w:p>
    <w:p w14:paraId="2D4CE69F" w14:textId="77777777" w:rsidR="00A85A7C" w:rsidRPr="00A85A7C" w:rsidRDefault="00A85A7C" w:rsidP="00A85A7C">
      <w:pPr>
        <w:pStyle w:val="ListParagraph"/>
        <w:numPr>
          <w:ilvl w:val="0"/>
          <w:numId w:val="2"/>
        </w:numPr>
        <w:spacing w:line="240" w:lineRule="auto"/>
        <w:jc w:val="both"/>
        <w:rPr>
          <w:rFonts w:ascii="Times New Roman" w:hAnsi="Times New Roman" w:cs="Times New Roman"/>
        </w:rPr>
      </w:pPr>
      <w:proofErr w:type="spellStart"/>
      <w:r w:rsidRPr="00A85A7C">
        <w:rPr>
          <w:rFonts w:ascii="Times New Roman" w:hAnsi="Times New Roman" w:cs="Times New Roman"/>
        </w:rPr>
        <w:t>меница</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менично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овлашћење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солидарног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јемца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привредног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субјекта</w:t>
      </w:r>
      <w:proofErr w:type="spellEnd"/>
      <w:r w:rsidRPr="00A85A7C">
        <w:rPr>
          <w:rFonts w:ascii="Times New Roman" w:hAnsi="Times New Roman" w:cs="Times New Roman"/>
          <w:lang w:val="sr-Cyrl-RS"/>
        </w:rPr>
        <w:t>;</w:t>
      </w:r>
    </w:p>
    <w:p w14:paraId="6EEC4B88" w14:textId="561CE368" w:rsidR="00A85A7C" w:rsidRPr="00A85A7C" w:rsidRDefault="00A85A7C" w:rsidP="00A85A7C">
      <w:pPr>
        <w:pStyle w:val="ListParagraph"/>
        <w:numPr>
          <w:ilvl w:val="0"/>
          <w:numId w:val="2"/>
        </w:numPr>
        <w:spacing w:line="240" w:lineRule="auto"/>
        <w:jc w:val="both"/>
        <w:rPr>
          <w:rFonts w:ascii="Times New Roman" w:hAnsi="Times New Roman" w:cs="Times New Roman"/>
        </w:rPr>
      </w:pPr>
      <w:r w:rsidRPr="00A85A7C">
        <w:rPr>
          <w:rFonts w:ascii="Times New Roman" w:hAnsi="Times New Roman" w:cs="Times New Roman"/>
          <w:lang w:val="sr-Cyrl-RS"/>
        </w:rPr>
        <w:t>менице корисника кредита са меничним овлашћењем.</w:t>
      </w:r>
    </w:p>
    <w:p w14:paraId="7A1AA21B" w14:textId="77777777" w:rsidR="00A85A7C" w:rsidRPr="00A85A7C" w:rsidRDefault="00A85A7C" w:rsidP="00A85A7C">
      <w:pPr>
        <w:spacing w:line="240" w:lineRule="auto"/>
        <w:jc w:val="both"/>
        <w:rPr>
          <w:rFonts w:ascii="Times New Roman" w:hAnsi="Times New Roman" w:cs="Times New Roman"/>
          <w:lang w:val="sr-Cyrl-RS"/>
        </w:rPr>
      </w:pPr>
      <w:r w:rsidRPr="00A85A7C">
        <w:rPr>
          <w:rFonts w:ascii="Times New Roman" w:hAnsi="Times New Roman" w:cs="Times New Roman"/>
          <w:lang w:val="sr-Cyrl-RS"/>
        </w:rPr>
        <w:t>У</w:t>
      </w:r>
      <w:r w:rsidRPr="00A85A7C">
        <w:rPr>
          <w:rFonts w:ascii="Times New Roman" w:hAnsi="Times New Roman" w:cs="Times New Roman"/>
        </w:rPr>
        <w:t xml:space="preserve"> </w:t>
      </w:r>
      <w:proofErr w:type="spellStart"/>
      <w:r w:rsidRPr="00A85A7C">
        <w:rPr>
          <w:rFonts w:ascii="Times New Roman" w:hAnsi="Times New Roman" w:cs="Times New Roman"/>
        </w:rPr>
        <w:t>односу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тржишну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хипотековане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непокретности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зависно</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од</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врсте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те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непокретности</w:t>
      </w:r>
      <w:proofErr w:type="spellEnd"/>
      <w:r w:rsidRPr="00A85A7C">
        <w:rPr>
          <w:rFonts w:ascii="Times New Roman" w:hAnsi="Times New Roman" w:cs="Times New Roman"/>
        </w:rPr>
        <w:t xml:space="preserve">, </w:t>
      </w:r>
      <w:r w:rsidRPr="00A85A7C">
        <w:rPr>
          <w:rFonts w:ascii="Times New Roman" w:hAnsi="Times New Roman" w:cs="Times New Roman"/>
          <w:lang w:val="sr-Cyrl-RS"/>
        </w:rPr>
        <w:t>износ кредита може бити:</w:t>
      </w:r>
    </w:p>
    <w:p w14:paraId="6AC9CFD4" w14:textId="77777777" w:rsidR="00A85A7C" w:rsidRPr="00A85A7C" w:rsidRDefault="00A85A7C" w:rsidP="00A85A7C">
      <w:pPr>
        <w:spacing w:line="240" w:lineRule="auto"/>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70%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стамбеног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простора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станови</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породичне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куће</w:t>
      </w:r>
      <w:proofErr w:type="spellEnd"/>
      <w:r w:rsidRPr="00A85A7C">
        <w:rPr>
          <w:rFonts w:ascii="Times New Roman" w:hAnsi="Times New Roman" w:cs="Times New Roman"/>
        </w:rPr>
        <w:t>);</w:t>
      </w:r>
    </w:p>
    <w:p w14:paraId="5B36F91E" w14:textId="77777777" w:rsidR="00A85A7C" w:rsidRPr="00A85A7C" w:rsidRDefault="00A85A7C" w:rsidP="00A85A7C">
      <w:pPr>
        <w:spacing w:line="240" w:lineRule="auto"/>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60%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пословних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зграда</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пословног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простора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канцеларије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управне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зграде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угоститељски</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трговачки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објекти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хладњаче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бензинске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пумпе</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сл</w:t>
      </w:r>
      <w:proofErr w:type="spellEnd"/>
      <w:r w:rsidRPr="00A85A7C">
        <w:rPr>
          <w:rFonts w:ascii="Times New Roman" w:hAnsi="Times New Roman" w:cs="Times New Roman"/>
        </w:rPr>
        <w:t>.);</w:t>
      </w:r>
    </w:p>
    <w:p w14:paraId="66FFCC89" w14:textId="77777777" w:rsidR="00A85A7C" w:rsidRPr="00A85A7C" w:rsidRDefault="00A85A7C" w:rsidP="00A85A7C">
      <w:pPr>
        <w:spacing w:line="240" w:lineRule="auto"/>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50%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производних</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индустријских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објеката</w:t>
      </w:r>
      <w:proofErr w:type="spellEnd"/>
      <w:r w:rsidRPr="00A85A7C">
        <w:rPr>
          <w:rFonts w:ascii="Times New Roman" w:hAnsi="Times New Roman" w:cs="Times New Roman"/>
        </w:rPr>
        <w:t>, (</w:t>
      </w:r>
      <w:proofErr w:type="spellStart"/>
      <w:r w:rsidRPr="00A85A7C">
        <w:rPr>
          <w:rFonts w:ascii="Times New Roman" w:hAnsi="Times New Roman" w:cs="Times New Roman"/>
        </w:rPr>
        <w:t>хала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магацина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млинова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силоса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гаража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помоћних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објеката</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сл</w:t>
      </w:r>
      <w:proofErr w:type="spellEnd"/>
      <w:r w:rsidRPr="00A85A7C">
        <w:rPr>
          <w:rFonts w:ascii="Times New Roman" w:hAnsi="Times New Roman" w:cs="Times New Roman"/>
        </w:rPr>
        <w:t>.);</w:t>
      </w:r>
    </w:p>
    <w:p w14:paraId="7E569F66" w14:textId="77777777" w:rsidR="00A85A7C" w:rsidRPr="00A85A7C" w:rsidRDefault="00A85A7C" w:rsidP="00A85A7C">
      <w:pPr>
        <w:jc w:val="both"/>
        <w:rPr>
          <w:rFonts w:ascii="Times New Roman" w:hAnsi="Times New Roman" w:cs="Times New Roman"/>
          <w:lang w:val="sr-Cyrl-RS"/>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30%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грађевинског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земљишта</w:t>
      </w:r>
      <w:proofErr w:type="spellEnd"/>
      <w:r w:rsidRPr="00A85A7C">
        <w:rPr>
          <w:rFonts w:ascii="Times New Roman" w:hAnsi="Times New Roman" w:cs="Times New Roman"/>
          <w:lang w:val="sr-Cyrl-RS"/>
        </w:rPr>
        <w:t xml:space="preserve"> или пољопривредног земљишта</w:t>
      </w:r>
    </w:p>
    <w:p w14:paraId="5C2E0104" w14:textId="77777777" w:rsidR="00A85A7C" w:rsidRPr="00A85A7C" w:rsidRDefault="00A85A7C" w:rsidP="00A85A7C">
      <w:pPr>
        <w:spacing w:line="240" w:lineRule="auto"/>
        <w:jc w:val="both"/>
        <w:rPr>
          <w:rFonts w:ascii="Times New Roman" w:hAnsi="Times New Roman" w:cs="Times New Roman"/>
          <w:lang w:val="sr-Cyrl-RS"/>
        </w:rPr>
      </w:pPr>
      <w:r w:rsidRPr="00A85A7C">
        <w:rPr>
          <w:rFonts w:ascii="Times New Roman" w:hAnsi="Times New Roman" w:cs="Times New Roman"/>
          <w:lang w:val="sr-Cyrl-RS"/>
        </w:rPr>
        <w:t>У</w:t>
      </w:r>
      <w:r w:rsidRPr="00A85A7C">
        <w:rPr>
          <w:rFonts w:ascii="Times New Roman" w:hAnsi="Times New Roman" w:cs="Times New Roman"/>
        </w:rPr>
        <w:t xml:space="preserve"> </w:t>
      </w:r>
      <w:proofErr w:type="spellStart"/>
      <w:r w:rsidRPr="00A85A7C">
        <w:rPr>
          <w:rFonts w:ascii="Times New Roman" w:hAnsi="Times New Roman" w:cs="Times New Roman"/>
        </w:rPr>
        <w:t>односу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тржишну</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w:t>
      </w:r>
      <w:proofErr w:type="spellEnd"/>
      <w:r w:rsidRPr="00A85A7C">
        <w:rPr>
          <w:rFonts w:ascii="Times New Roman" w:hAnsi="Times New Roman" w:cs="Times New Roman"/>
          <w:lang w:val="sr-Cyrl-RS"/>
        </w:rPr>
        <w:t xml:space="preserve"> залоге,</w:t>
      </w:r>
      <w:r w:rsidRPr="00A85A7C">
        <w:rPr>
          <w:rFonts w:ascii="Times New Roman" w:hAnsi="Times New Roman" w:cs="Times New Roman"/>
        </w:rPr>
        <w:t xml:space="preserve"> </w:t>
      </w:r>
      <w:proofErr w:type="spellStart"/>
      <w:r w:rsidRPr="00A85A7C">
        <w:rPr>
          <w:rFonts w:ascii="Times New Roman" w:hAnsi="Times New Roman" w:cs="Times New Roman"/>
        </w:rPr>
        <w:t>висина</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одобреног</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кредита</w:t>
      </w:r>
      <w:proofErr w:type="spellEnd"/>
      <w:r w:rsidRPr="00A85A7C">
        <w:rPr>
          <w:rFonts w:ascii="Times New Roman" w:hAnsi="Times New Roman" w:cs="Times New Roman"/>
        </w:rPr>
        <w:t xml:space="preserve"> </w:t>
      </w:r>
      <w:r w:rsidRPr="00A85A7C">
        <w:rPr>
          <w:rFonts w:ascii="Times New Roman" w:hAnsi="Times New Roman" w:cs="Times New Roman"/>
          <w:lang w:val="sr-Cyrl-RS"/>
        </w:rPr>
        <w:t>може бити:</w:t>
      </w:r>
    </w:p>
    <w:p w14:paraId="6BE9E51F" w14:textId="77777777" w:rsidR="00A85A7C" w:rsidRPr="00A85A7C" w:rsidRDefault="00A85A7C" w:rsidP="00A85A7C">
      <w:pPr>
        <w:spacing w:line="240" w:lineRule="auto"/>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50%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нове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опреме</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других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покретних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ствари</w:t>
      </w:r>
      <w:proofErr w:type="spellEnd"/>
      <w:r w:rsidRPr="00A85A7C">
        <w:rPr>
          <w:rFonts w:ascii="Times New Roman" w:hAnsi="Times New Roman" w:cs="Times New Roman"/>
        </w:rPr>
        <w:t>;</w:t>
      </w:r>
    </w:p>
    <w:p w14:paraId="0707BAF8" w14:textId="77777777" w:rsidR="00A85A7C" w:rsidRPr="00A85A7C" w:rsidRDefault="00A85A7C" w:rsidP="00A85A7C">
      <w:pPr>
        <w:spacing w:after="120"/>
        <w:jc w:val="both"/>
        <w:rPr>
          <w:rFonts w:ascii="Times New Roman" w:hAnsi="Times New Roman" w:cs="Times New Roman"/>
        </w:rPr>
      </w:pPr>
      <w:r w:rsidRPr="00A85A7C">
        <w:rPr>
          <w:rFonts w:ascii="Times New Roman" w:hAnsi="Times New Roman" w:cs="Times New Roman"/>
        </w:rPr>
        <w:t xml:space="preserve">– </w:t>
      </w:r>
      <w:proofErr w:type="spellStart"/>
      <w:r w:rsidRPr="00A85A7C">
        <w:rPr>
          <w:rFonts w:ascii="Times New Roman" w:hAnsi="Times New Roman" w:cs="Times New Roman"/>
        </w:rPr>
        <w:t>до</w:t>
      </w:r>
      <w:proofErr w:type="spellEnd"/>
      <w:r w:rsidRPr="00A85A7C">
        <w:rPr>
          <w:rFonts w:ascii="Times New Roman" w:hAnsi="Times New Roman" w:cs="Times New Roman"/>
        </w:rPr>
        <w:t xml:space="preserve"> 30% </w:t>
      </w:r>
      <w:proofErr w:type="spellStart"/>
      <w:r w:rsidRPr="00A85A7C">
        <w:rPr>
          <w:rFonts w:ascii="Times New Roman" w:hAnsi="Times New Roman" w:cs="Times New Roman"/>
        </w:rPr>
        <w:t>тржишне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вредности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опреме</w:t>
      </w:r>
      <w:proofErr w:type="spellEnd"/>
      <w:r w:rsidRPr="00A85A7C">
        <w:rPr>
          <w:rFonts w:ascii="Times New Roman" w:hAnsi="Times New Roman" w:cs="Times New Roman"/>
        </w:rPr>
        <w:t xml:space="preserve"> и </w:t>
      </w:r>
      <w:proofErr w:type="spellStart"/>
      <w:r w:rsidRPr="00A85A7C">
        <w:rPr>
          <w:rFonts w:ascii="Times New Roman" w:hAnsi="Times New Roman" w:cs="Times New Roman"/>
        </w:rPr>
        <w:t>других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покретних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ствари</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старијих</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од</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две</w:t>
      </w:r>
      <w:proofErr w:type="spellEnd"/>
      <w:r w:rsidRPr="00A85A7C">
        <w:rPr>
          <w:rFonts w:ascii="Times New Roman" w:hAnsi="Times New Roman" w:cs="Times New Roman"/>
        </w:rPr>
        <w:t xml:space="preserve"> </w:t>
      </w:r>
      <w:proofErr w:type="spellStart"/>
      <w:r w:rsidRPr="00A85A7C">
        <w:rPr>
          <w:rFonts w:ascii="Times New Roman" w:hAnsi="Times New Roman" w:cs="Times New Roman"/>
        </w:rPr>
        <w:t>године</w:t>
      </w:r>
      <w:proofErr w:type="spellEnd"/>
      <w:r w:rsidRPr="00A85A7C">
        <w:rPr>
          <w:rFonts w:ascii="Times New Roman" w:hAnsi="Times New Roman" w:cs="Times New Roman"/>
        </w:rPr>
        <w:t>;</w:t>
      </w:r>
    </w:p>
    <w:p w14:paraId="4E9C745D" w14:textId="77777777" w:rsidR="00A85A7C" w:rsidRPr="00A85A7C" w:rsidRDefault="00A85A7C" w:rsidP="00A85A7C">
      <w:pPr>
        <w:spacing w:line="240" w:lineRule="auto"/>
        <w:jc w:val="both"/>
        <w:rPr>
          <w:rFonts w:ascii="Times New Roman" w:hAnsi="Times New Roman" w:cs="Times New Roman"/>
          <w:lang w:val="sr-Cyrl-RS"/>
        </w:rPr>
      </w:pPr>
      <w:r w:rsidRPr="00A85A7C">
        <w:rPr>
          <w:rFonts w:ascii="Times New Roman" w:hAnsi="Times New Roman" w:cs="Times New Roman"/>
          <w:lang w:val="sr-Cyrl-RS"/>
        </w:rPr>
        <w:t>Фонд ће прихватити хипотеку вишег реда, само уколико су претходно уписане хипотеке на истој непокретности у корист Фонда.</w:t>
      </w:r>
    </w:p>
    <w:p w14:paraId="5856C81C" w14:textId="0233B25E" w:rsidR="00A85A7C" w:rsidRPr="00A85A7C" w:rsidRDefault="00A85A7C" w:rsidP="00A85A7C">
      <w:pPr>
        <w:spacing w:after="150"/>
        <w:jc w:val="both"/>
        <w:rPr>
          <w:rFonts w:ascii="Times New Roman" w:hAnsi="Times New Roman" w:cs="Times New Roman"/>
          <w:lang w:val="sr-Cyrl-RS"/>
        </w:rPr>
      </w:pPr>
      <w:r w:rsidRPr="00A85A7C">
        <w:rPr>
          <w:rFonts w:ascii="Times New Roman" w:hAnsi="Times New Roman" w:cs="Times New Roman"/>
          <w:color w:val="000000"/>
          <w:lang w:val="sr-Cyrl-RS"/>
        </w:rPr>
        <w:t xml:space="preserve">Фонд може захтевати и друга средства обезбеђења, као и комбиновати више различитих инструмената обезбеђења, у зависности од потребе за конкретног клијента или пласмана. </w:t>
      </w:r>
    </w:p>
    <w:p w14:paraId="36CF866E" w14:textId="77777777" w:rsidR="00A85A7C" w:rsidRPr="00A85A7C" w:rsidRDefault="00A85A7C" w:rsidP="00A85A7C">
      <w:pPr>
        <w:spacing w:after="150"/>
        <w:jc w:val="both"/>
        <w:rPr>
          <w:rFonts w:ascii="Times New Roman" w:hAnsi="Times New Roman" w:cs="Times New Roman"/>
          <w:color w:val="000000"/>
        </w:rPr>
      </w:pPr>
      <w:proofErr w:type="spellStart"/>
      <w:r w:rsidRPr="00A85A7C">
        <w:rPr>
          <w:rFonts w:ascii="Times New Roman" w:hAnsi="Times New Roman" w:cs="Times New Roman"/>
          <w:color w:val="000000"/>
        </w:rPr>
        <w:t>Уколико</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је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корисник</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кредита</w:t>
      </w:r>
      <w:proofErr w:type="spellEnd"/>
      <w:r w:rsidRPr="00A85A7C">
        <w:rPr>
          <w:rFonts w:ascii="Times New Roman" w:hAnsi="Times New Roman" w:cs="Times New Roman"/>
          <w:color w:val="000000"/>
        </w:rPr>
        <w:t>/</w:t>
      </w:r>
      <w:proofErr w:type="spellStart"/>
      <w:r w:rsidRPr="00A85A7C">
        <w:rPr>
          <w:rFonts w:ascii="Times New Roman" w:hAnsi="Times New Roman" w:cs="Times New Roman"/>
          <w:color w:val="000000"/>
        </w:rPr>
        <w:t>налогодавац</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по</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гаранцији</w:t>
      </w:r>
      <w:proofErr w:type="spellEnd"/>
      <w:r w:rsidRPr="00A85A7C">
        <w:rPr>
          <w:rFonts w:ascii="Times New Roman" w:hAnsi="Times New Roman" w:cs="Times New Roman"/>
          <w:color w:val="000000"/>
        </w:rPr>
        <w:t>/</w:t>
      </w:r>
      <w:proofErr w:type="spellStart"/>
      <w:r w:rsidRPr="00A85A7C">
        <w:rPr>
          <w:rFonts w:ascii="Times New Roman" w:hAnsi="Times New Roman" w:cs="Times New Roman"/>
          <w:color w:val="000000"/>
        </w:rPr>
        <w:t>привредни</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субјект</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из</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недовољно</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развијене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јединице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локалне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самоуправе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уколико</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наведеној</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територији</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има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седиште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или</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истој</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обавља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пословање</w:t>
      </w:r>
      <w:proofErr w:type="spellEnd"/>
      <w:r w:rsidRPr="00A85A7C">
        <w:rPr>
          <w:rFonts w:ascii="Times New Roman" w:hAnsi="Times New Roman" w:cs="Times New Roman"/>
          <w:color w:val="000000"/>
        </w:rPr>
        <w:t xml:space="preserve"> и </w:t>
      </w:r>
      <w:proofErr w:type="spellStart"/>
      <w:r w:rsidRPr="00A85A7C">
        <w:rPr>
          <w:rFonts w:ascii="Times New Roman" w:hAnsi="Times New Roman" w:cs="Times New Roman"/>
          <w:color w:val="000000"/>
        </w:rPr>
        <w:t>има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регистрован</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огранак</w:t>
      </w:r>
      <w:proofErr w:type="spellEnd"/>
      <w:r w:rsidRPr="00A85A7C">
        <w:rPr>
          <w:rFonts w:ascii="Times New Roman" w:hAnsi="Times New Roman" w:cs="Times New Roman"/>
          <w:color w:val="000000"/>
        </w:rPr>
        <w:t xml:space="preserve">, у </w:t>
      </w:r>
      <w:proofErr w:type="spellStart"/>
      <w:r w:rsidRPr="00A85A7C">
        <w:rPr>
          <w:rFonts w:ascii="Times New Roman" w:hAnsi="Times New Roman" w:cs="Times New Roman"/>
          <w:color w:val="000000"/>
        </w:rPr>
        <w:t>периоду</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дужем</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од</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годину</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дана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од</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дана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подношења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захтева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тржишна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вредност</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инструмената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обезбеђења</w:t>
      </w:r>
      <w:proofErr w:type="spellEnd"/>
      <w:r w:rsidRPr="00A85A7C">
        <w:rPr>
          <w:rFonts w:ascii="Times New Roman" w:hAnsi="Times New Roman" w:cs="Times New Roman"/>
          <w:color w:val="000000"/>
        </w:rPr>
        <w:t xml:space="preserve"> у </w:t>
      </w:r>
      <w:proofErr w:type="spellStart"/>
      <w:r w:rsidRPr="00A85A7C">
        <w:rPr>
          <w:rFonts w:ascii="Times New Roman" w:hAnsi="Times New Roman" w:cs="Times New Roman"/>
          <w:color w:val="000000"/>
        </w:rPr>
        <w:t>односу</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на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вредност</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кредита</w:t>
      </w:r>
      <w:proofErr w:type="spellEnd"/>
      <w:r w:rsidRPr="00A85A7C">
        <w:rPr>
          <w:rFonts w:ascii="Times New Roman" w:hAnsi="Times New Roman" w:cs="Times New Roman"/>
          <w:color w:val="000000"/>
        </w:rPr>
        <w:t xml:space="preserve"> и/</w:t>
      </w:r>
      <w:proofErr w:type="spellStart"/>
      <w:r w:rsidRPr="00A85A7C">
        <w:rPr>
          <w:rFonts w:ascii="Times New Roman" w:hAnsi="Times New Roman" w:cs="Times New Roman"/>
          <w:color w:val="000000"/>
        </w:rPr>
        <w:t>или</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гаранције</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мора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да</w:t>
      </w:r>
      <w:proofErr w:type="spellEnd"/>
      <w:r w:rsidRPr="00A85A7C">
        <w:rPr>
          <w:rFonts w:ascii="Times New Roman" w:hAnsi="Times New Roman" w:cs="Times New Roman"/>
          <w:color w:val="000000"/>
        </w:rPr>
        <w:t xml:space="preserve"> </w:t>
      </w:r>
      <w:proofErr w:type="spellStart"/>
      <w:r w:rsidRPr="00A85A7C">
        <w:rPr>
          <w:rFonts w:ascii="Times New Roman" w:hAnsi="Times New Roman" w:cs="Times New Roman"/>
          <w:color w:val="000000"/>
        </w:rPr>
        <w:t>буде</w:t>
      </w:r>
      <w:proofErr w:type="spellEnd"/>
      <w:r w:rsidRPr="00A85A7C">
        <w:rPr>
          <w:rFonts w:ascii="Times New Roman" w:hAnsi="Times New Roman" w:cs="Times New Roman"/>
          <w:color w:val="000000"/>
        </w:rPr>
        <w:t xml:space="preserve"> 1:1.</w:t>
      </w:r>
    </w:p>
    <w:p w14:paraId="3F36EB21" w14:textId="77777777" w:rsidR="00A85A7C" w:rsidRPr="00A85A7C" w:rsidRDefault="00A85A7C" w:rsidP="000A0F5A">
      <w:pPr>
        <w:jc w:val="both"/>
        <w:rPr>
          <w:rFonts w:ascii="Times New Roman" w:hAnsi="Times New Roman" w:cs="Times New Roman"/>
          <w:lang w:val="sr-Cyrl-RS"/>
        </w:rPr>
      </w:pPr>
      <w:r w:rsidRPr="00A85A7C">
        <w:rPr>
          <w:rFonts w:ascii="Times New Roman" w:hAnsi="Times New Roman" w:cs="Times New Roman"/>
          <w:lang w:val="sr-Cyrl-RS"/>
        </w:rPr>
        <w:t xml:space="preserve">Недовољно развијеним јединицама локалне самоуправе, у смислу овог Програма, сматрају се јединице локалне самоуправе које су разврстане у трећу групу развијености у складу са чланом 12. став 1. Закона о регионалном развоју и актом Владе којим се утврђује јединствена листа развијености региона и јединица локалне самоуправе и то:   </w:t>
      </w:r>
    </w:p>
    <w:p w14:paraId="26996A58" w14:textId="77777777" w:rsidR="00A85A7C" w:rsidRPr="00A85A7C" w:rsidRDefault="00A85A7C" w:rsidP="000A0F5A">
      <w:pPr>
        <w:jc w:val="both"/>
        <w:rPr>
          <w:rFonts w:ascii="Times New Roman" w:hAnsi="Times New Roman" w:cs="Times New Roman"/>
          <w:lang w:val="sr-Cyrl-RS"/>
        </w:rPr>
      </w:pPr>
      <w:r w:rsidRPr="00A85A7C">
        <w:rPr>
          <w:rFonts w:ascii="Times New Roman" w:hAnsi="Times New Roman" w:cs="Times New Roman"/>
          <w:lang w:val="sr-Cyrl-RS"/>
        </w:rPr>
        <w:t xml:space="preserve">Алибунар, Бајина Башта, Баточина, Бач, Бела Црква, Богатић, Бољевац, Велика Плана, Велико      Градиште, Владимирци, Деспотовац, Жабаљ, Житиште, Ивањица, Ириг, Кладово, Кнић, Ковачица, Ковин, Коцељева, Краљево, Лесковац, Лозница, Лучани, Љубовија, Мали Иђош, Неготин, Нова Црња, Нови Бечеј, Нови Пазар, Осечина, Оџаци, Параћин, Пландиште, Прокупље, Свилајнац, Сечањ, Смедеревска Паланка, Сокобања, Србобран, Тител, Трстеник, Ћићевац, Ћуприја, Уб, Чока, Шид.    </w:t>
      </w:r>
    </w:p>
    <w:p w14:paraId="77712418" w14:textId="77777777" w:rsidR="00A85A7C" w:rsidRPr="00A85A7C" w:rsidRDefault="00A85A7C" w:rsidP="000A0F5A">
      <w:pPr>
        <w:jc w:val="both"/>
        <w:rPr>
          <w:rFonts w:ascii="Times New Roman" w:hAnsi="Times New Roman" w:cs="Times New Roman"/>
          <w:lang w:val="sr-Cyrl-RS"/>
        </w:rPr>
      </w:pPr>
      <w:r w:rsidRPr="00A85A7C">
        <w:rPr>
          <w:rFonts w:ascii="Times New Roman" w:hAnsi="Times New Roman" w:cs="Times New Roman"/>
          <w:lang w:val="sr-Cyrl-RS"/>
        </w:rPr>
        <w:t xml:space="preserve">Изразито недовољно развијеним јединицама локалне самоуправе, у смислу овог Програма, сматрају се јединице локалне самоуправе које су разврстане у четврту групу развијености у складу са чланом 12. став 2. Закона о регионалном развоју и актом Владе којим се утврђује јединствена листа развијености региона и јединица локалне самоуправе и то:   </w:t>
      </w:r>
    </w:p>
    <w:p w14:paraId="3A29100D" w14:textId="2D987F4D" w:rsidR="00133281" w:rsidRDefault="00A85A7C" w:rsidP="000A0F5A">
      <w:pPr>
        <w:jc w:val="both"/>
        <w:rPr>
          <w:rFonts w:ascii="Times New Roman" w:hAnsi="Times New Roman" w:cs="Times New Roman"/>
          <w:lang w:val="sr-Cyrl-RS"/>
        </w:rPr>
      </w:pPr>
      <w:r w:rsidRPr="00A85A7C">
        <w:rPr>
          <w:rFonts w:ascii="Times New Roman" w:hAnsi="Times New Roman" w:cs="Times New Roman"/>
          <w:lang w:val="sr-Cyrl-RS"/>
        </w:rPr>
        <w:t xml:space="preserve">Алексинац, Бабушница, Бела Паланка, Блаце, Бојник, Босилеград, Брус, Бујановац, Варварин, Владичин Хан, Власотинце, Гаџин Хан, Голубац, Димитровград, Дољевац, Жабари, Жагубица,  Житорађа, Књажевац, Крупањ, Куршумлија, Кучево, Лебане, Љиг, Мали Зворник, Мало Црниће, Медвеђа, Мерошина, Мионица, Нова Варош, Опово, Петровац на Млави, Прешево, Прибој, Пријепоље, Ражањ, Рашка, Рековац, Сврљиг, Сјеница, Сурдулица, Трговиште, Тутин, Црна Трава.  </w:t>
      </w:r>
    </w:p>
    <w:sectPr w:rsidR="00133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6123"/>
    <w:multiLevelType w:val="hybridMultilevel"/>
    <w:tmpl w:val="B45CA260"/>
    <w:lvl w:ilvl="0" w:tplc="9418F50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D096A"/>
    <w:multiLevelType w:val="hybridMultilevel"/>
    <w:tmpl w:val="8BA6D6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32635"/>
    <w:multiLevelType w:val="hybridMultilevel"/>
    <w:tmpl w:val="407C56C4"/>
    <w:lvl w:ilvl="0" w:tplc="DB6C40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173275">
    <w:abstractNumId w:val="2"/>
  </w:num>
  <w:num w:numId="2" w16cid:durableId="185023176">
    <w:abstractNumId w:val="1"/>
  </w:num>
  <w:num w:numId="3" w16cid:durableId="27375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4"/>
    <w:rsid w:val="00030C13"/>
    <w:rsid w:val="000A0F5A"/>
    <w:rsid w:val="00133281"/>
    <w:rsid w:val="002A724A"/>
    <w:rsid w:val="0060283E"/>
    <w:rsid w:val="00630FBD"/>
    <w:rsid w:val="00932C3D"/>
    <w:rsid w:val="00946068"/>
    <w:rsid w:val="00996AAE"/>
    <w:rsid w:val="00A36161"/>
    <w:rsid w:val="00A85A7C"/>
    <w:rsid w:val="00B14A98"/>
    <w:rsid w:val="00BB6D71"/>
    <w:rsid w:val="00BF2068"/>
    <w:rsid w:val="00C35564"/>
    <w:rsid w:val="00FF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D6B5"/>
  <w15:chartTrackingRefBased/>
  <w15:docId w15:val="{FDBB844E-B557-4F41-8562-A5072871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F5A"/>
    <w:pPr>
      <w:ind w:left="720"/>
      <w:contextualSpacing/>
    </w:pPr>
  </w:style>
  <w:style w:type="character" w:styleId="CommentReference">
    <w:name w:val="annotation reference"/>
    <w:basedOn w:val="DefaultParagraphFont"/>
    <w:uiPriority w:val="99"/>
    <w:semiHidden/>
    <w:unhideWhenUsed/>
    <w:rsid w:val="00030C13"/>
    <w:rPr>
      <w:sz w:val="16"/>
      <w:szCs w:val="16"/>
    </w:rPr>
  </w:style>
  <w:style w:type="paragraph" w:styleId="CommentText">
    <w:name w:val="annotation text"/>
    <w:basedOn w:val="Normal"/>
    <w:link w:val="CommentTextChar"/>
    <w:uiPriority w:val="99"/>
    <w:semiHidden/>
    <w:unhideWhenUsed/>
    <w:rsid w:val="00030C13"/>
    <w:pPr>
      <w:spacing w:line="240" w:lineRule="auto"/>
    </w:pPr>
    <w:rPr>
      <w:sz w:val="20"/>
      <w:szCs w:val="20"/>
    </w:rPr>
  </w:style>
  <w:style w:type="character" w:customStyle="1" w:styleId="CommentTextChar">
    <w:name w:val="Comment Text Char"/>
    <w:basedOn w:val="DefaultParagraphFont"/>
    <w:link w:val="CommentText"/>
    <w:uiPriority w:val="99"/>
    <w:semiHidden/>
    <w:rsid w:val="00030C13"/>
    <w:rPr>
      <w:sz w:val="20"/>
      <w:szCs w:val="20"/>
    </w:rPr>
  </w:style>
  <w:style w:type="paragraph" w:styleId="CommentSubject">
    <w:name w:val="annotation subject"/>
    <w:basedOn w:val="CommentText"/>
    <w:next w:val="CommentText"/>
    <w:link w:val="CommentSubjectChar"/>
    <w:uiPriority w:val="99"/>
    <w:semiHidden/>
    <w:unhideWhenUsed/>
    <w:rsid w:val="00030C13"/>
    <w:rPr>
      <w:b/>
      <w:bCs/>
    </w:rPr>
  </w:style>
  <w:style w:type="character" w:customStyle="1" w:styleId="CommentSubjectChar">
    <w:name w:val="Comment Subject Char"/>
    <w:basedOn w:val="CommentTextChar"/>
    <w:link w:val="CommentSubject"/>
    <w:uiPriority w:val="99"/>
    <w:semiHidden/>
    <w:rsid w:val="00030C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Ivanović</dc:creator>
  <cp:keywords/>
  <dc:description/>
  <cp:lastModifiedBy>Jelena Ivanović</cp:lastModifiedBy>
  <cp:revision>2</cp:revision>
  <dcterms:created xsi:type="dcterms:W3CDTF">2024-01-12T14:12:00Z</dcterms:created>
  <dcterms:modified xsi:type="dcterms:W3CDTF">2024-01-12T14:12:00Z</dcterms:modified>
</cp:coreProperties>
</file>