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7060" w14:textId="1E06AA38" w:rsidR="00A43387" w:rsidRDefault="00000000">
      <w:pPr>
        <w:spacing w:after="30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ПОТРЕБНА ДОКУМЕНТАЦИЈА ЗА РЕАЛИЗАЦИЈУ</w:t>
      </w:r>
      <w:r w:rsidR="00AB0788">
        <w:rPr>
          <w:b/>
          <w:bCs/>
          <w:sz w:val="24"/>
          <w:szCs w:val="24"/>
          <w:u w:val="single"/>
        </w:rPr>
        <w:t xml:space="preserve"> </w:t>
      </w:r>
      <w:r w:rsidR="00AB0788">
        <w:rPr>
          <w:b/>
          <w:bCs/>
          <w:sz w:val="24"/>
          <w:szCs w:val="24"/>
          <w:u w:val="single"/>
          <w:lang w:val="sr-Cyrl-RS"/>
        </w:rPr>
        <w:t>ОДОБРЕНИХ</w:t>
      </w:r>
      <w:r>
        <w:rPr>
          <w:b/>
          <w:bCs/>
          <w:sz w:val="24"/>
          <w:szCs w:val="24"/>
          <w:u w:val="single"/>
        </w:rPr>
        <w:t xml:space="preserve"> КРЕДИТА </w:t>
      </w:r>
    </w:p>
    <w:p w14:paraId="106BC8FD" w14:textId="77777777" w:rsidR="00AB0788" w:rsidRDefault="00AB0788">
      <w:pPr>
        <w:spacing w:after="300"/>
      </w:pPr>
    </w:p>
    <w:p w14:paraId="58BF1CA7" w14:textId="77777777" w:rsidR="00A43387" w:rsidRDefault="00000000">
      <w:pPr>
        <w:spacing w:after="200"/>
      </w:pPr>
      <w:r>
        <w:rPr>
          <w:b/>
          <w:bCs/>
          <w:sz w:val="24"/>
          <w:szCs w:val="24"/>
        </w:rPr>
        <w:t>РЕАЛИЗАЦИЈА ИНВЕСТИЦИОНИОНИХ КРЕДИТИ</w:t>
      </w:r>
    </w:p>
    <w:p w14:paraId="36BB13B3" w14:textId="77777777" w:rsidR="00A43387" w:rsidRDefault="00000000">
      <w:pPr>
        <w:spacing w:after="200"/>
      </w:pPr>
      <w:r>
        <w:rPr>
          <w:sz w:val="24"/>
          <w:szCs w:val="24"/>
        </w:rPr>
        <w:t>За реализацију одобрених кредитних средства за инвестиционо улагање-куповина опреме или извођење грађевинских радова, потребно је доставити:</w:t>
      </w:r>
    </w:p>
    <w:p w14:paraId="41EF9C7C" w14:textId="77777777" w:rsidR="00A43387" w:rsidRDefault="00000000">
      <w:pPr>
        <w:spacing w:after="200"/>
      </w:pPr>
      <w:r>
        <w:rPr>
          <w:sz w:val="24"/>
          <w:szCs w:val="24"/>
        </w:rPr>
        <w:t>- Захтев за пуштање средства са назначеним рачуном пословне банке код које Корисник кредита има отворен текући рачун, а који у моменту реализације не може бити у блокади, јер се у том случају неће извршити пренос средства;</w:t>
      </w:r>
    </w:p>
    <w:p w14:paraId="20530E73" w14:textId="77777777" w:rsidR="00A43387" w:rsidRDefault="00000000">
      <w:pPr>
        <w:spacing w:after="200"/>
      </w:pPr>
      <w:r>
        <w:rPr>
          <w:sz w:val="24"/>
          <w:szCs w:val="24"/>
        </w:rPr>
        <w:t>- Спецификацију уз Захтев за пуштање средства која је у складу са достављеним понудама/профактурама за куповину опреме или извођење грађевинских радова;</w:t>
      </w:r>
    </w:p>
    <w:p w14:paraId="2D5E1D9B" w14:textId="77777777" w:rsidR="00A43387" w:rsidRDefault="00000000">
      <w:pPr>
        <w:spacing w:after="200"/>
      </w:pPr>
      <w:r>
        <w:rPr>
          <w:sz w:val="24"/>
          <w:szCs w:val="24"/>
        </w:rPr>
        <w:t>Напомена: Корисницима кредита који су за средство обезбеђења доставили Гаранцију пословне банке, пренос средства врши се искључиво на текући рачуна банке која је издала Гаранцију;</w:t>
      </w:r>
    </w:p>
    <w:p w14:paraId="0EA29642" w14:textId="0254C22A" w:rsidR="00A43387" w:rsidRDefault="00000000">
      <w:pPr>
        <w:spacing w:after="200"/>
      </w:pPr>
      <w:r>
        <w:rPr>
          <w:b/>
          <w:bCs/>
          <w:sz w:val="24"/>
          <w:szCs w:val="24"/>
        </w:rPr>
        <w:t>1.</w:t>
      </w:r>
      <w:r w:rsidR="009C59B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ЗА КУПОВИНУ ОПРЕМЕ ПОТРЕБНО ЈЕ ДОСТАВИТИ:</w:t>
      </w:r>
    </w:p>
    <w:p w14:paraId="0E6B1861" w14:textId="77777777" w:rsidR="00A43387" w:rsidRDefault="00000000">
      <w:pPr>
        <w:spacing w:after="200"/>
      </w:pPr>
      <w:r>
        <w:rPr>
          <w:sz w:val="24"/>
          <w:szCs w:val="24"/>
        </w:rPr>
        <w:t>-Важеће понуде/профактуре са датумом до када исте важе, је средства кредита не могу бити пуштена на основу понуде/профактуре чији је рок важења истекао, изузев уколико постоји писана Изјава добвљача да је достављена понуда/профактура и датум до када важи;</w:t>
      </w:r>
    </w:p>
    <w:p w14:paraId="3D92EFC5" w14:textId="77777777" w:rsidR="00A43387" w:rsidRDefault="00000000">
      <w:pPr>
        <w:spacing w:after="200"/>
      </w:pPr>
      <w:r>
        <w:rPr>
          <w:sz w:val="24"/>
          <w:szCs w:val="24"/>
        </w:rPr>
        <w:t>-На понуди/профактури мора бити назначен тачан назив опреме, намена , марака тип, година производње, рок испоруке, начин инсталације опреме, назив купца и добављача са њиховим адресама,  као и ПИБ , матични број  и текући рачун добављача;</w:t>
      </w:r>
    </w:p>
    <w:p w14:paraId="49052AB0" w14:textId="77777777" w:rsidR="00A43387" w:rsidRDefault="00000000">
      <w:pPr>
        <w:spacing w:after="200"/>
      </w:pPr>
      <w:r>
        <w:rPr>
          <w:sz w:val="24"/>
          <w:szCs w:val="24"/>
        </w:rPr>
        <w:t>-Понуда/профактура мора да има тачно назначен и начин плаћања (процентат авансног плаћања 100%, 50%, 30% итд), јер од тога зависи да ли ће се кредитна средства реализовати у целости (аванс 100%) или ће се реализација вршити у траншама према уговореним условима, где ће Корисник за свако наредно повлачење кредитних средства достављати нови Захтев за пуштање средства уз доказ да је Корисник претходну траншу уплатио добављачу;</w:t>
      </w:r>
    </w:p>
    <w:p w14:paraId="66437EC6" w14:textId="77777777" w:rsidR="00A43387" w:rsidRDefault="00000000">
      <w:pPr>
        <w:spacing w:after="200"/>
      </w:pPr>
      <w:r>
        <w:rPr>
          <w:sz w:val="24"/>
          <w:szCs w:val="24"/>
        </w:rPr>
        <w:t>-За куповину увозне опреме потребан је оверен превод понуде/профактуре и означена валута у којој се врши плаћање,</w:t>
      </w:r>
    </w:p>
    <w:p w14:paraId="46634DCB" w14:textId="77777777" w:rsidR="00A43387" w:rsidRDefault="00000000">
      <w:pPr>
        <w:spacing w:after="400"/>
      </w:pPr>
      <w:r>
        <w:rPr>
          <w:sz w:val="24"/>
          <w:szCs w:val="24"/>
        </w:rPr>
        <w:t>-За куповину доставног возила и друга транспортна возила, важећа понуда/профактура мора да садржи тачан назив возила, марку, тип, годину производње, начин плаћања, рок и начин испоруке, назив купца и добављача са њиховим адресама,  као и ПИБ , матични број  и текући рачун добављача. Када се купује половно возило поред наведених елемената, понуда/профактура/уговор мора да садржи број шасије, број мотора и број саобраћајне дозволе са фотокопијом у прилогу;</w:t>
      </w:r>
    </w:p>
    <w:p w14:paraId="6AAC32BF" w14:textId="08A96EC6" w:rsidR="00A43387" w:rsidRDefault="00000000">
      <w:pPr>
        <w:spacing w:after="200"/>
      </w:pPr>
      <w:r>
        <w:rPr>
          <w:b/>
          <w:bCs/>
          <w:sz w:val="24"/>
          <w:szCs w:val="24"/>
        </w:rPr>
        <w:t>2.</w:t>
      </w:r>
      <w:r w:rsidR="009C59B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ЗА ИЗВОЂЕЊЕ ГРАЂЕВИНСКИХ РАДОВА КОЈИ ОБУХВАТАЈУ  ИЗГРАДЊУ ОБЈЕКТА, ДОГРАДЊУ, АДАПТАЦИЈУ, РЕКОНСТРУКЦИЈУ, САНАЦИЈУ, ИНВЕСТИЦИОНО ОДРЖАВАЊЕ ПОСЛОВНОГ ОБЈЕКТА  ПОТРЕБНО ЈЕ ДОСТАВИТИ:</w:t>
      </w:r>
    </w:p>
    <w:p w14:paraId="6B23A698" w14:textId="77777777" w:rsidR="00A43387" w:rsidRDefault="00000000">
      <w:pPr>
        <w:spacing w:after="200"/>
      </w:pPr>
      <w:r>
        <w:rPr>
          <w:sz w:val="24"/>
          <w:szCs w:val="24"/>
        </w:rPr>
        <w:lastRenderedPageBreak/>
        <w:t>-Правоснажну Грађевиснку дозволу или Решење којим се одобрава извођење грађевинских радова;</w:t>
      </w:r>
    </w:p>
    <w:p w14:paraId="51BB13EC" w14:textId="77777777" w:rsidR="00A43387" w:rsidRDefault="00000000">
      <w:pPr>
        <w:spacing w:after="200"/>
      </w:pPr>
      <w:r>
        <w:rPr>
          <w:sz w:val="24"/>
          <w:szCs w:val="24"/>
        </w:rPr>
        <w:t>-Доказ да је поднета пријава почетка извођења радова, уколико у моменту првог пуштања средства није поднета, доставити доказ најкасније до следећег пуштања средства, односно са првом привременом ситуацијом;</w:t>
      </w:r>
    </w:p>
    <w:p w14:paraId="10F82492" w14:textId="77777777" w:rsidR="00A43387" w:rsidRDefault="00000000">
      <w:pPr>
        <w:spacing w:after="200"/>
      </w:pPr>
      <w:r>
        <w:rPr>
          <w:sz w:val="24"/>
          <w:szCs w:val="24"/>
        </w:rPr>
        <w:t>-Предмер и предрачун радова потписан од стране овлашћеног лица (одговорног проjектанта) чија ће максимална вредност бити прихваћена у износу који је у Грађевинској дозволи или Решењу наведен као предрачунска вредност пројекта;</w:t>
      </w:r>
    </w:p>
    <w:p w14:paraId="1A9FB4BB" w14:textId="77777777" w:rsidR="00A43387" w:rsidRDefault="00000000">
      <w:pPr>
        <w:spacing w:after="200"/>
      </w:pPr>
      <w:r>
        <w:rPr>
          <w:sz w:val="24"/>
          <w:szCs w:val="24"/>
        </w:rPr>
        <w:t>-Понуде/уговор са извођачем радова, са доказом да је именован одговорни извођач радова и копију лиценце за одговорног извођача радова.</w:t>
      </w:r>
    </w:p>
    <w:p w14:paraId="7BE52C8B" w14:textId="77777777" w:rsidR="00A43387" w:rsidRDefault="00000000">
      <w:pPr>
        <w:spacing w:after="200"/>
      </w:pPr>
      <w:r>
        <w:rPr>
          <w:sz w:val="24"/>
          <w:szCs w:val="24"/>
        </w:rPr>
        <w:t>-Аванс за извођење грађевинских радова може бити максимално до 40% уговорених радова, а остатак ће се пуштати након достављања привремених/коначне ситуације које морају оверити: инвеститор, одговорни извођач радова и стручни надзор;</w:t>
      </w:r>
    </w:p>
    <w:p w14:paraId="21EABCB2" w14:textId="77777777" w:rsidR="00A43387" w:rsidRDefault="00000000">
      <w:pPr>
        <w:spacing w:after="200"/>
      </w:pPr>
      <w:r>
        <w:rPr>
          <w:sz w:val="24"/>
          <w:szCs w:val="24"/>
        </w:rPr>
        <w:t>-Доказ да је инвеститор именовао стручни надзор и копију лиценце за лице које ће вршити стручни надзор.</w:t>
      </w:r>
    </w:p>
    <w:p w14:paraId="4555B73B" w14:textId="77777777" w:rsidR="00A43387" w:rsidRDefault="00000000">
      <w:pPr>
        <w:spacing w:after="400"/>
      </w:pPr>
      <w:r>
        <w:rPr>
          <w:sz w:val="24"/>
          <w:szCs w:val="24"/>
        </w:rPr>
        <w:t>-Уколико за планиране грађевинске радове, који се финансирају по овом Програму, није потребна Грађевиска дозвола, потребна је Потврда надлежног органа.</w:t>
      </w:r>
    </w:p>
    <w:p w14:paraId="04631F9D" w14:textId="670B472B" w:rsidR="00A43387" w:rsidRDefault="00000000">
      <w:pPr>
        <w:spacing w:after="200"/>
      </w:pPr>
      <w:r>
        <w:rPr>
          <w:b/>
          <w:bCs/>
          <w:sz w:val="24"/>
          <w:szCs w:val="24"/>
        </w:rPr>
        <w:t>3.</w:t>
      </w:r>
      <w:r w:rsidR="009C59B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ЗА КУПОВИНУ ПОСЛОВНОГ ОБЈЕКТА ПОТРЕБНО ЈЕ ДОСТАВИТИ:</w:t>
      </w:r>
    </w:p>
    <w:p w14:paraId="69C080F5" w14:textId="77777777" w:rsidR="00A43387" w:rsidRDefault="00000000">
      <w:pPr>
        <w:spacing w:after="200"/>
      </w:pPr>
      <w:r>
        <w:rPr>
          <w:sz w:val="24"/>
          <w:szCs w:val="24"/>
        </w:rPr>
        <w:t>-Доказ о власништву објекта;</w:t>
      </w:r>
    </w:p>
    <w:p w14:paraId="19201651" w14:textId="77777777" w:rsidR="00A43387" w:rsidRDefault="00000000">
      <w:pPr>
        <w:spacing w:after="200"/>
      </w:pPr>
      <w:r>
        <w:rPr>
          <w:sz w:val="24"/>
          <w:szCs w:val="24"/>
        </w:rPr>
        <w:t>-Предуговор/Уговор о купопродаји непокретности оверен од стране јавног бележника;</w:t>
      </w:r>
    </w:p>
    <w:p w14:paraId="7F04D6B2" w14:textId="77777777" w:rsidR="00A43387" w:rsidRDefault="00000000">
      <w:pPr>
        <w:spacing w:before="200" w:after="200"/>
      </w:pPr>
      <w:r>
        <w:rPr>
          <w:b/>
          <w:bCs/>
          <w:sz w:val="24"/>
          <w:szCs w:val="24"/>
        </w:rPr>
        <w:t>4. ЗА КУПОВИНУ СОФТВЕРА ПОТРЕБНО ЈЕ ДОСТАВИТИ:</w:t>
      </w:r>
    </w:p>
    <w:p w14:paraId="77AD707C" w14:textId="77777777" w:rsidR="00A43387" w:rsidRDefault="00000000">
      <w:pPr>
        <w:spacing w:after="200"/>
      </w:pPr>
      <w:r>
        <w:rPr>
          <w:sz w:val="24"/>
          <w:szCs w:val="24"/>
        </w:rPr>
        <w:t>-Понуде/профактуре, на којима мора бити назначен тачан назив софтвера, намена, начин плаћања, рок важења понуде (средства кредита не могу бити пуштена на основу понуде/профактуре чији је рок важења истекао), рок за имплементацију софтвера, податак о томе ко ће извршити имплементацију софтвера и обуку за рад на истом. Профактура мора да садржи назив купца, као и добављача и њихову адресу, матични број, ПИБ, бр.текућег рачуна;</w:t>
      </w:r>
    </w:p>
    <w:p w14:paraId="53C12EC5" w14:textId="77777777" w:rsidR="00A43387" w:rsidRDefault="00000000">
      <w:pPr>
        <w:spacing w:after="200"/>
      </w:pPr>
      <w:r>
        <w:rPr>
          <w:sz w:val="24"/>
          <w:szCs w:val="24"/>
        </w:rPr>
        <w:t>-За куповину лиценце (нематеријална улагања) профактуру на којој мора бити назначен рок коришћења лиценце;</w:t>
      </w:r>
    </w:p>
    <w:p w14:paraId="352C20CC" w14:textId="77777777" w:rsidR="00A43387" w:rsidRDefault="00000000">
      <w:pPr>
        <w:spacing w:after="200"/>
      </w:pPr>
      <w:r>
        <w:rPr>
          <w:b/>
          <w:bCs/>
          <w:i/>
          <w:iCs/>
          <w:sz w:val="24"/>
          <w:szCs w:val="24"/>
        </w:rPr>
        <w:t>Напомена</w:t>
      </w:r>
    </w:p>
    <w:p w14:paraId="78F2F4CB" w14:textId="77777777" w:rsidR="00A43387" w:rsidRDefault="00000000">
      <w:pPr>
        <w:spacing w:after="400"/>
      </w:pPr>
      <w:r>
        <w:rPr>
          <w:b/>
          <w:bCs/>
          <w:sz w:val="24"/>
          <w:szCs w:val="24"/>
        </w:rPr>
        <w:t>За профактуре/понуде/уговоре издате на износе у страној валути, за обрачун динарске противвредности користи се средњи курс НБС на дан пуштања средства;</w:t>
      </w:r>
    </w:p>
    <w:sectPr w:rsidR="00A4338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86120"/>
    <w:multiLevelType w:val="hybridMultilevel"/>
    <w:tmpl w:val="BCA0FEDE"/>
    <w:lvl w:ilvl="0" w:tplc="2ADE006A">
      <w:start w:val="1"/>
      <w:numFmt w:val="bullet"/>
      <w:lvlText w:val="●"/>
      <w:lvlJc w:val="left"/>
      <w:pPr>
        <w:ind w:left="720" w:hanging="360"/>
      </w:pPr>
    </w:lvl>
    <w:lvl w:ilvl="1" w:tplc="2D6CFBA4">
      <w:start w:val="1"/>
      <w:numFmt w:val="bullet"/>
      <w:lvlText w:val="○"/>
      <w:lvlJc w:val="left"/>
      <w:pPr>
        <w:ind w:left="1440" w:hanging="360"/>
      </w:pPr>
    </w:lvl>
    <w:lvl w:ilvl="2" w:tplc="5CF6BB22">
      <w:start w:val="1"/>
      <w:numFmt w:val="bullet"/>
      <w:lvlText w:val="■"/>
      <w:lvlJc w:val="left"/>
      <w:pPr>
        <w:ind w:left="2160" w:hanging="360"/>
      </w:pPr>
    </w:lvl>
    <w:lvl w:ilvl="3" w:tplc="B476A996">
      <w:start w:val="1"/>
      <w:numFmt w:val="bullet"/>
      <w:lvlText w:val="●"/>
      <w:lvlJc w:val="left"/>
      <w:pPr>
        <w:ind w:left="2880" w:hanging="360"/>
      </w:pPr>
    </w:lvl>
    <w:lvl w:ilvl="4" w:tplc="4D6C829C">
      <w:start w:val="1"/>
      <w:numFmt w:val="bullet"/>
      <w:lvlText w:val="○"/>
      <w:lvlJc w:val="left"/>
      <w:pPr>
        <w:ind w:left="3600" w:hanging="360"/>
      </w:pPr>
    </w:lvl>
    <w:lvl w:ilvl="5" w:tplc="1A5EDDC8">
      <w:start w:val="1"/>
      <w:numFmt w:val="bullet"/>
      <w:lvlText w:val="■"/>
      <w:lvlJc w:val="left"/>
      <w:pPr>
        <w:ind w:left="4320" w:hanging="360"/>
      </w:pPr>
    </w:lvl>
    <w:lvl w:ilvl="6" w:tplc="BD002710">
      <w:start w:val="1"/>
      <w:numFmt w:val="bullet"/>
      <w:lvlText w:val="●"/>
      <w:lvlJc w:val="left"/>
      <w:pPr>
        <w:ind w:left="5040" w:hanging="360"/>
      </w:pPr>
    </w:lvl>
    <w:lvl w:ilvl="7" w:tplc="1D12C0CA">
      <w:start w:val="1"/>
      <w:numFmt w:val="bullet"/>
      <w:lvlText w:val="●"/>
      <w:lvlJc w:val="left"/>
      <w:pPr>
        <w:ind w:left="5760" w:hanging="360"/>
      </w:pPr>
    </w:lvl>
    <w:lvl w:ilvl="8" w:tplc="BC709018">
      <w:start w:val="1"/>
      <w:numFmt w:val="bullet"/>
      <w:lvlText w:val="●"/>
      <w:lvlJc w:val="left"/>
      <w:pPr>
        <w:ind w:left="6480" w:hanging="360"/>
      </w:pPr>
    </w:lvl>
  </w:abstractNum>
  <w:num w:numId="1" w16cid:durableId="6884109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87"/>
    <w:rsid w:val="00036156"/>
    <w:rsid w:val="009C59B2"/>
    <w:rsid w:val="00A43387"/>
    <w:rsid w:val="00AB0788"/>
    <w:rsid w:val="00ED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B713"/>
  <w15:docId w15:val="{0390B76E-1F28-4079-A371-D9FBB07E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Radmila Plecas</cp:lastModifiedBy>
  <cp:revision>2</cp:revision>
  <dcterms:created xsi:type="dcterms:W3CDTF">2026-06-17T09:33:00Z</dcterms:created>
  <dcterms:modified xsi:type="dcterms:W3CDTF">2026-06-17T09:33:00Z</dcterms:modified>
</cp:coreProperties>
</file>